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38B09C">
      <w:pPr>
        <w:keepNext w:val="0"/>
        <w:keepLines w:val="0"/>
        <w:pageBreakBefore w:val="0"/>
        <w:widowControl w:val="0"/>
        <w:kinsoku w:val="0"/>
        <w:wordWrap/>
        <w:overflowPunct w:val="0"/>
        <w:topLinePunct w:val="0"/>
        <w:autoSpaceDE w:val="0"/>
        <w:autoSpaceDN w:val="0"/>
        <w:bidi w:val="0"/>
        <w:snapToGrid/>
        <w:spacing w:line="560" w:lineRule="exact"/>
        <w:ind w:firstLine="42"/>
        <w:jc w:val="center"/>
        <w:rPr>
          <w:rFonts w:hint="eastAsia" w:ascii="方正小标宋简体" w:hAnsi="方正小标宋简体" w:eastAsia="方正小标宋简体" w:cs="方正小标宋简体"/>
          <w:b w:val="0"/>
          <w:bCs/>
          <w:sz w:val="44"/>
          <w:szCs w:val="44"/>
          <w:lang w:val="en-US" w:eastAsia="zh-CN"/>
        </w:rPr>
      </w:pPr>
    </w:p>
    <w:p w14:paraId="59B1181A">
      <w:pPr>
        <w:keepNext w:val="0"/>
        <w:keepLines w:val="0"/>
        <w:pageBreakBefore w:val="0"/>
        <w:widowControl w:val="0"/>
        <w:kinsoku w:val="0"/>
        <w:wordWrap/>
        <w:overflowPunct w:val="0"/>
        <w:topLinePunct w:val="0"/>
        <w:autoSpaceDE w:val="0"/>
        <w:autoSpaceDN w:val="0"/>
        <w:bidi w:val="0"/>
        <w:snapToGrid/>
        <w:spacing w:line="560" w:lineRule="exact"/>
        <w:ind w:firstLine="42"/>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val="en-US" w:eastAsia="zh-CN"/>
        </w:rPr>
        <w:t>陕西省地方标准</w:t>
      </w:r>
    </w:p>
    <w:p w14:paraId="515A146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val="en-US" w:eastAsia="zh-CN"/>
        </w:rPr>
        <w:t>《</w:t>
      </w:r>
      <w:bookmarkStart w:id="0" w:name="_Toc21501"/>
      <w:bookmarkStart w:id="1" w:name="_Toc19612"/>
      <w:bookmarkStart w:id="2" w:name="_Toc25216"/>
      <w:r>
        <w:rPr>
          <w:rFonts w:hint="eastAsia" w:ascii="方正小标宋简体" w:hAnsi="方正小标宋简体" w:eastAsia="方正小标宋简体" w:cs="方正小标宋简体"/>
          <w:b w:val="0"/>
          <w:bCs/>
          <w:sz w:val="44"/>
          <w:szCs w:val="44"/>
          <w:lang w:val="en-US" w:eastAsia="zh-CN"/>
        </w:rPr>
        <w:t>地理标志产品质量要求 镇安象园茶</w:t>
      </w:r>
      <w:bookmarkEnd w:id="0"/>
      <w:bookmarkEnd w:id="1"/>
      <w:bookmarkEnd w:id="2"/>
      <w:r>
        <w:rPr>
          <w:rFonts w:hint="eastAsia" w:ascii="方正小标宋简体" w:hAnsi="方正小标宋简体" w:eastAsia="方正小标宋简体" w:cs="方正小标宋简体"/>
          <w:b w:val="0"/>
          <w:bCs/>
          <w:sz w:val="44"/>
          <w:szCs w:val="44"/>
          <w:lang w:val="en-US" w:eastAsia="zh-CN"/>
        </w:rPr>
        <w:t>》</w:t>
      </w:r>
    </w:p>
    <w:p w14:paraId="4842945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sz w:val="44"/>
          <w:szCs w:val="44"/>
          <w:lang w:val="en-US" w:eastAsia="zh-CN"/>
        </w:rPr>
      </w:pPr>
      <w:bookmarkStart w:id="3" w:name="_Toc16615"/>
      <w:r>
        <w:rPr>
          <w:rFonts w:hint="eastAsia" w:ascii="方正小标宋简体" w:hAnsi="方正小标宋简体" w:eastAsia="方正小标宋简体" w:cs="方正小标宋简体"/>
          <w:b w:val="0"/>
          <w:bCs/>
          <w:sz w:val="44"/>
          <w:szCs w:val="44"/>
          <w:lang w:val="en-US" w:eastAsia="zh-CN"/>
        </w:rPr>
        <w:t>编制说明</w:t>
      </w:r>
      <w:bookmarkEnd w:id="3"/>
    </w:p>
    <w:p w14:paraId="407FBBDD">
      <w:pPr>
        <w:keepNext w:val="0"/>
        <w:keepLines w:val="0"/>
        <w:pageBreakBefore w:val="0"/>
        <w:widowControl w:val="0"/>
        <w:wordWrap/>
        <w:topLinePunct w:val="0"/>
        <w:autoSpaceDE w:val="0"/>
        <w:autoSpaceDN w:val="0"/>
        <w:bidi w:val="0"/>
        <w:adjustRightInd w:val="0"/>
        <w:snapToGrid/>
        <w:spacing w:line="560" w:lineRule="exact"/>
        <w:jc w:val="center"/>
        <w:textAlignment w:val="baseline"/>
        <w:rPr>
          <w:rFonts w:hint="eastAsia" w:ascii="方正小标宋简体" w:hAnsi="方正小标宋简体" w:eastAsia="方正小标宋简体" w:cs="方正小标宋简体"/>
          <w:b w:val="0"/>
          <w:bCs/>
          <w:kern w:val="0"/>
          <w:sz w:val="44"/>
          <w:szCs w:val="44"/>
          <w:lang w:val="en-US" w:eastAsia="zh-CN"/>
        </w:rPr>
      </w:pPr>
    </w:p>
    <w:p w14:paraId="34A5AD65">
      <w:pPr>
        <w:keepNext w:val="0"/>
        <w:keepLines w:val="0"/>
        <w:pageBreakBefore w:val="0"/>
        <w:widowControl w:val="0"/>
        <w:wordWrap/>
        <w:topLinePunct w:val="0"/>
        <w:autoSpaceDE w:val="0"/>
        <w:autoSpaceDN w:val="0"/>
        <w:bidi w:val="0"/>
        <w:adjustRightInd w:val="0"/>
        <w:snapToGrid/>
        <w:spacing w:line="560" w:lineRule="exact"/>
        <w:jc w:val="center"/>
        <w:textAlignment w:val="baseline"/>
        <w:rPr>
          <w:rFonts w:hint="eastAsia" w:ascii="方正小标宋简体" w:hAnsi="方正小标宋简体" w:eastAsia="方正小标宋简体" w:cs="方正小标宋简体"/>
          <w:b w:val="0"/>
          <w:bCs/>
          <w:kern w:val="0"/>
          <w:sz w:val="44"/>
          <w:szCs w:val="44"/>
          <w:lang w:val="en-US" w:eastAsia="zh-CN"/>
        </w:rPr>
      </w:pPr>
    </w:p>
    <w:p w14:paraId="28629486">
      <w:pPr>
        <w:keepNext w:val="0"/>
        <w:keepLines w:val="0"/>
        <w:pageBreakBefore w:val="0"/>
        <w:widowControl w:val="0"/>
        <w:wordWrap/>
        <w:topLinePunct w:val="0"/>
        <w:autoSpaceDE w:val="0"/>
        <w:autoSpaceDN w:val="0"/>
        <w:bidi w:val="0"/>
        <w:adjustRightInd w:val="0"/>
        <w:snapToGrid/>
        <w:spacing w:line="560" w:lineRule="exact"/>
        <w:jc w:val="center"/>
        <w:textAlignment w:val="baseline"/>
        <w:rPr>
          <w:rFonts w:hint="eastAsia" w:ascii="方正小标宋简体" w:hAnsi="方正小标宋简体" w:eastAsia="方正小标宋简体" w:cs="方正小标宋简体"/>
          <w:b w:val="0"/>
          <w:bCs/>
          <w:kern w:val="0"/>
          <w:sz w:val="44"/>
          <w:szCs w:val="44"/>
          <w:lang w:val="en-US" w:eastAsia="zh-CN"/>
        </w:rPr>
      </w:pPr>
    </w:p>
    <w:p w14:paraId="204673CA">
      <w:pPr>
        <w:keepNext w:val="0"/>
        <w:keepLines w:val="0"/>
        <w:pageBreakBefore w:val="0"/>
        <w:widowControl w:val="0"/>
        <w:wordWrap/>
        <w:topLinePunct w:val="0"/>
        <w:autoSpaceDE w:val="0"/>
        <w:autoSpaceDN w:val="0"/>
        <w:bidi w:val="0"/>
        <w:adjustRightInd w:val="0"/>
        <w:snapToGrid/>
        <w:spacing w:line="560" w:lineRule="exact"/>
        <w:jc w:val="center"/>
        <w:textAlignment w:val="baseline"/>
        <w:rPr>
          <w:rFonts w:hint="eastAsia" w:ascii="方正小标宋简体" w:hAnsi="方正小标宋简体" w:eastAsia="方正小标宋简体" w:cs="方正小标宋简体"/>
          <w:b w:val="0"/>
          <w:bCs/>
          <w:kern w:val="0"/>
          <w:sz w:val="44"/>
          <w:szCs w:val="44"/>
          <w:lang w:val="en-US" w:eastAsia="zh-CN"/>
        </w:rPr>
      </w:pPr>
    </w:p>
    <w:p w14:paraId="04EB3234">
      <w:pPr>
        <w:keepNext w:val="0"/>
        <w:keepLines w:val="0"/>
        <w:pageBreakBefore w:val="0"/>
        <w:widowControl w:val="0"/>
        <w:wordWrap/>
        <w:topLinePunct w:val="0"/>
        <w:autoSpaceDE w:val="0"/>
        <w:autoSpaceDN w:val="0"/>
        <w:bidi w:val="0"/>
        <w:adjustRightInd w:val="0"/>
        <w:snapToGrid/>
        <w:spacing w:line="560" w:lineRule="exact"/>
        <w:jc w:val="center"/>
        <w:textAlignment w:val="baseline"/>
        <w:rPr>
          <w:rFonts w:hint="eastAsia" w:ascii="方正小标宋简体" w:hAnsi="方正小标宋简体" w:eastAsia="方正小标宋简体" w:cs="方正小标宋简体"/>
          <w:b w:val="0"/>
          <w:bCs/>
          <w:kern w:val="0"/>
          <w:sz w:val="44"/>
          <w:szCs w:val="44"/>
          <w:lang w:val="en-US" w:eastAsia="zh-CN"/>
        </w:rPr>
      </w:pPr>
      <w:r>
        <w:rPr>
          <w:rFonts w:hint="eastAsia" w:ascii="方正小标宋简体" w:hAnsi="方正小标宋简体" w:eastAsia="方正小标宋简体" w:cs="方正小标宋简体"/>
          <w:b w:val="0"/>
          <w:bCs/>
          <w:kern w:val="0"/>
          <w:sz w:val="44"/>
          <w:szCs w:val="44"/>
          <w:lang w:val="en-US" w:eastAsia="zh-CN"/>
        </w:rPr>
        <w:t>（征求意见稿）</w:t>
      </w:r>
    </w:p>
    <w:p w14:paraId="3932A5A6">
      <w:pPr>
        <w:keepNext w:val="0"/>
        <w:keepLines w:val="0"/>
        <w:pageBreakBefore w:val="0"/>
        <w:widowControl w:val="0"/>
        <w:wordWrap/>
        <w:topLinePunct w:val="0"/>
        <w:autoSpaceDE w:val="0"/>
        <w:autoSpaceDN w:val="0"/>
        <w:bidi w:val="0"/>
        <w:adjustRightInd w:val="0"/>
        <w:snapToGrid/>
        <w:spacing w:line="560" w:lineRule="exact"/>
        <w:jc w:val="center"/>
        <w:textAlignment w:val="baseline"/>
        <w:rPr>
          <w:rFonts w:hint="default" w:ascii="方正小标宋简体" w:hAnsi="方正小标宋简体" w:eastAsia="方正小标宋简体" w:cs="方正小标宋简体"/>
          <w:b/>
          <w:kern w:val="0"/>
          <w:sz w:val="44"/>
          <w:szCs w:val="44"/>
          <w:lang w:val="en-US" w:eastAsia="zh-CN"/>
        </w:rPr>
      </w:pPr>
    </w:p>
    <w:p w14:paraId="21BE5FC2">
      <w:pPr>
        <w:keepNext w:val="0"/>
        <w:keepLines w:val="0"/>
        <w:pageBreakBefore w:val="0"/>
        <w:widowControl w:val="0"/>
        <w:wordWrap/>
        <w:topLinePunct w:val="0"/>
        <w:bidi w:val="0"/>
        <w:snapToGrid/>
        <w:spacing w:line="560" w:lineRule="exact"/>
        <w:jc w:val="center"/>
        <w:rPr>
          <w:rFonts w:hint="eastAsia" w:ascii="方正小标宋简体" w:hAnsi="方正小标宋简体" w:eastAsia="方正小标宋简体" w:cs="方正小标宋简体"/>
          <w:sz w:val="44"/>
          <w:szCs w:val="44"/>
        </w:rPr>
      </w:pPr>
    </w:p>
    <w:p w14:paraId="7449ACED">
      <w:pPr>
        <w:keepNext w:val="0"/>
        <w:keepLines w:val="0"/>
        <w:pageBreakBefore w:val="0"/>
        <w:widowControl w:val="0"/>
        <w:wordWrap/>
        <w:topLinePunct w:val="0"/>
        <w:bidi w:val="0"/>
        <w:snapToGrid/>
        <w:spacing w:line="560" w:lineRule="exact"/>
        <w:jc w:val="center"/>
        <w:rPr>
          <w:rFonts w:hint="eastAsia" w:ascii="方正小标宋简体" w:hAnsi="方正小标宋简体" w:eastAsia="方正小标宋简体" w:cs="方正小标宋简体"/>
          <w:sz w:val="44"/>
          <w:szCs w:val="44"/>
        </w:rPr>
      </w:pPr>
    </w:p>
    <w:p w14:paraId="29987B49">
      <w:pPr>
        <w:keepNext w:val="0"/>
        <w:keepLines w:val="0"/>
        <w:pageBreakBefore w:val="0"/>
        <w:widowControl w:val="0"/>
        <w:wordWrap/>
        <w:topLinePunct w:val="0"/>
        <w:bidi w:val="0"/>
        <w:snapToGrid/>
        <w:spacing w:line="560" w:lineRule="exact"/>
        <w:jc w:val="center"/>
        <w:rPr>
          <w:rFonts w:hint="eastAsia" w:ascii="方正小标宋简体" w:hAnsi="方正小标宋简体" w:eastAsia="方正小标宋简体" w:cs="方正小标宋简体"/>
          <w:sz w:val="44"/>
          <w:szCs w:val="44"/>
        </w:rPr>
      </w:pPr>
    </w:p>
    <w:p w14:paraId="6C8C488F">
      <w:pPr>
        <w:keepNext w:val="0"/>
        <w:keepLines w:val="0"/>
        <w:pageBreakBefore w:val="0"/>
        <w:widowControl w:val="0"/>
        <w:wordWrap/>
        <w:topLinePunct w:val="0"/>
        <w:bidi w:val="0"/>
        <w:snapToGrid/>
        <w:spacing w:line="560" w:lineRule="exact"/>
        <w:jc w:val="center"/>
        <w:rPr>
          <w:rFonts w:hint="eastAsia" w:ascii="方正小标宋简体" w:hAnsi="方正小标宋简体" w:eastAsia="方正小标宋简体" w:cs="方正小标宋简体"/>
          <w:sz w:val="44"/>
          <w:szCs w:val="44"/>
        </w:rPr>
      </w:pPr>
    </w:p>
    <w:p w14:paraId="227EB505">
      <w:pPr>
        <w:keepNext w:val="0"/>
        <w:keepLines w:val="0"/>
        <w:pageBreakBefore w:val="0"/>
        <w:widowControl w:val="0"/>
        <w:wordWrap/>
        <w:topLinePunct w:val="0"/>
        <w:bidi w:val="0"/>
        <w:snapToGrid/>
        <w:spacing w:line="560" w:lineRule="exact"/>
        <w:jc w:val="center"/>
        <w:rPr>
          <w:rFonts w:hint="eastAsia" w:ascii="方正小标宋简体" w:hAnsi="方正小标宋简体" w:eastAsia="方正小标宋简体" w:cs="方正小标宋简体"/>
          <w:sz w:val="44"/>
          <w:szCs w:val="44"/>
        </w:rPr>
      </w:pPr>
    </w:p>
    <w:p w14:paraId="063F6070">
      <w:pPr>
        <w:keepNext w:val="0"/>
        <w:keepLines w:val="0"/>
        <w:pageBreakBefore w:val="0"/>
        <w:widowControl w:val="0"/>
        <w:wordWrap/>
        <w:topLinePunct w:val="0"/>
        <w:bidi w:val="0"/>
        <w:snapToGrid/>
        <w:spacing w:line="560" w:lineRule="exact"/>
        <w:jc w:val="center"/>
        <w:rPr>
          <w:rFonts w:hint="eastAsia" w:ascii="方正小标宋简体" w:hAnsi="方正小标宋简体" w:eastAsia="方正小标宋简体" w:cs="方正小标宋简体"/>
          <w:sz w:val="44"/>
          <w:szCs w:val="44"/>
        </w:rPr>
      </w:pPr>
    </w:p>
    <w:p w14:paraId="118FE4B3">
      <w:pPr>
        <w:pStyle w:val="16"/>
        <w:keepNext w:val="0"/>
        <w:keepLines w:val="0"/>
        <w:pageBreakBefore w:val="0"/>
        <w:wordWrap/>
        <w:bidi w:val="0"/>
        <w:snapToGrid w:val="0"/>
        <w:spacing w:before="0" w:after="0" w:line="560" w:lineRule="exact"/>
        <w:ind w:firstLine="640" w:firstLineChars="200"/>
        <w:jc w:val="both"/>
        <w:rPr>
          <w:rFonts w:hint="eastAsia" w:ascii="黑体" w:hAnsi="黑体" w:eastAsia="黑体" w:cs="黑体"/>
          <w:b w:val="0"/>
          <w:bCs w:val="0"/>
        </w:rPr>
      </w:pPr>
      <w:bookmarkStart w:id="4" w:name="_Toc17345"/>
    </w:p>
    <w:p w14:paraId="048793C1">
      <w:pPr>
        <w:pStyle w:val="16"/>
        <w:keepNext w:val="0"/>
        <w:keepLines w:val="0"/>
        <w:pageBreakBefore w:val="0"/>
        <w:wordWrap/>
        <w:bidi w:val="0"/>
        <w:snapToGrid w:val="0"/>
        <w:spacing w:before="0" w:after="0" w:line="560" w:lineRule="exact"/>
        <w:ind w:firstLine="640" w:firstLineChars="200"/>
        <w:jc w:val="both"/>
        <w:rPr>
          <w:rFonts w:hint="eastAsia" w:ascii="黑体" w:hAnsi="黑体" w:eastAsia="黑体" w:cs="黑体"/>
          <w:b w:val="0"/>
          <w:bCs w:val="0"/>
        </w:rPr>
      </w:pPr>
    </w:p>
    <w:p w14:paraId="42C94989">
      <w:pPr>
        <w:pStyle w:val="16"/>
        <w:keepNext w:val="0"/>
        <w:keepLines w:val="0"/>
        <w:pageBreakBefore w:val="0"/>
        <w:wordWrap/>
        <w:bidi w:val="0"/>
        <w:snapToGrid w:val="0"/>
        <w:spacing w:before="0" w:after="0" w:line="560" w:lineRule="exact"/>
        <w:ind w:firstLine="640" w:firstLineChars="200"/>
        <w:jc w:val="both"/>
        <w:rPr>
          <w:rFonts w:hint="eastAsia" w:ascii="黑体" w:hAnsi="黑体" w:eastAsia="黑体" w:cs="黑体"/>
          <w:b w:val="0"/>
          <w:bCs w:val="0"/>
        </w:rPr>
      </w:pPr>
    </w:p>
    <w:p w14:paraId="768DAF8E">
      <w:pPr>
        <w:pStyle w:val="16"/>
        <w:keepNext w:val="0"/>
        <w:keepLines w:val="0"/>
        <w:pageBreakBefore w:val="0"/>
        <w:wordWrap/>
        <w:bidi w:val="0"/>
        <w:snapToGrid w:val="0"/>
        <w:spacing w:before="0" w:after="0" w:line="560" w:lineRule="exact"/>
        <w:ind w:firstLine="640" w:firstLineChars="200"/>
        <w:jc w:val="both"/>
        <w:rPr>
          <w:rFonts w:hint="eastAsia" w:ascii="黑体" w:hAnsi="黑体" w:eastAsia="黑体" w:cs="黑体"/>
          <w:b w:val="0"/>
          <w:bCs w:val="0"/>
        </w:rPr>
      </w:pPr>
    </w:p>
    <w:p w14:paraId="1CEC8005">
      <w:pPr>
        <w:pStyle w:val="16"/>
        <w:keepNext w:val="0"/>
        <w:keepLines w:val="0"/>
        <w:pageBreakBefore w:val="0"/>
        <w:wordWrap/>
        <w:bidi w:val="0"/>
        <w:snapToGrid w:val="0"/>
        <w:spacing w:before="0" w:after="0" w:line="560" w:lineRule="exact"/>
        <w:ind w:firstLine="640" w:firstLineChars="200"/>
        <w:jc w:val="both"/>
        <w:rPr>
          <w:rFonts w:hint="eastAsia" w:ascii="黑体" w:hAnsi="黑体" w:eastAsia="黑体" w:cs="黑体"/>
          <w:b w:val="0"/>
          <w:bCs w:val="0"/>
        </w:rPr>
      </w:pPr>
    </w:p>
    <w:p w14:paraId="67711360">
      <w:pPr>
        <w:pStyle w:val="16"/>
        <w:keepNext w:val="0"/>
        <w:keepLines w:val="0"/>
        <w:pageBreakBefore w:val="0"/>
        <w:wordWrap/>
        <w:bidi w:val="0"/>
        <w:snapToGrid w:val="0"/>
        <w:spacing w:before="0" w:after="0" w:line="560" w:lineRule="exact"/>
        <w:ind w:firstLine="640" w:firstLineChars="200"/>
        <w:jc w:val="both"/>
        <w:rPr>
          <w:rFonts w:hint="eastAsia" w:ascii="黑体" w:hAnsi="黑体" w:eastAsia="黑体" w:cs="黑体"/>
          <w:b w:val="0"/>
          <w:bCs w:val="0"/>
        </w:rPr>
      </w:pPr>
    </w:p>
    <w:p w14:paraId="2F8D2ED2">
      <w:pPr>
        <w:pStyle w:val="16"/>
        <w:keepNext w:val="0"/>
        <w:keepLines w:val="0"/>
        <w:pageBreakBefore w:val="0"/>
        <w:wordWrap/>
        <w:bidi w:val="0"/>
        <w:snapToGrid w:val="0"/>
        <w:spacing w:before="0" w:after="0" w:line="560" w:lineRule="exact"/>
        <w:ind w:firstLine="640" w:firstLineChars="200"/>
        <w:jc w:val="both"/>
        <w:rPr>
          <w:rFonts w:hint="eastAsia" w:ascii="黑体" w:hAnsi="黑体" w:eastAsia="黑体" w:cs="黑体"/>
          <w:b w:val="0"/>
          <w:bCs w:val="0"/>
        </w:rPr>
        <w:sectPr>
          <w:pgSz w:w="11906" w:h="16838"/>
          <w:pgMar w:top="2154" w:right="1474" w:bottom="2041" w:left="1587" w:header="851" w:footer="1701" w:gutter="0"/>
          <w:pgNumType w:fmt="numberInDash" w:start="2"/>
          <w:cols w:space="425" w:num="1"/>
          <w:docGrid w:type="lines" w:linePitch="312" w:charSpace="0"/>
        </w:sectPr>
      </w:pPr>
    </w:p>
    <w:p w14:paraId="7E3649D1">
      <w:pPr>
        <w:pStyle w:val="16"/>
        <w:keepNext w:val="0"/>
        <w:keepLines w:val="0"/>
        <w:pageBreakBefore w:val="0"/>
        <w:wordWrap/>
        <w:bidi w:val="0"/>
        <w:snapToGrid w:val="0"/>
        <w:spacing w:before="0" w:after="0" w:line="560" w:lineRule="exact"/>
        <w:ind w:firstLine="640" w:firstLineChars="200"/>
        <w:jc w:val="both"/>
        <w:rPr>
          <w:rFonts w:hint="eastAsia" w:ascii="黑体" w:hAnsi="黑体" w:eastAsia="黑体" w:cs="黑体"/>
          <w:b w:val="0"/>
          <w:bCs w:val="0"/>
        </w:rPr>
      </w:pPr>
      <w:r>
        <w:rPr>
          <w:rFonts w:hint="eastAsia" w:ascii="黑体" w:hAnsi="黑体" w:eastAsia="黑体" w:cs="黑体"/>
          <w:b w:val="0"/>
          <w:bCs w:val="0"/>
        </w:rPr>
        <w:t>一、工作简况</w:t>
      </w:r>
      <w:bookmarkEnd w:id="4"/>
    </w:p>
    <w:p w14:paraId="08F8221A">
      <w:pPr>
        <w:keepNext w:val="0"/>
        <w:keepLines w:val="0"/>
        <w:pageBreakBefore w:val="0"/>
        <w:wordWrap/>
        <w:bidi w:val="0"/>
        <w:snapToGrid w:val="0"/>
        <w:spacing w:line="560" w:lineRule="exact"/>
        <w:ind w:firstLine="640" w:firstLineChars="200"/>
        <w:rPr>
          <w:rFonts w:hint="eastAsia" w:ascii="楷体" w:hAnsi="楷体" w:eastAsia="楷体" w:cs="楷体"/>
          <w:bCs/>
          <w:sz w:val="32"/>
          <w:szCs w:val="32"/>
        </w:rPr>
      </w:pPr>
      <w:r>
        <w:rPr>
          <w:rFonts w:hint="eastAsia" w:ascii="楷体" w:hAnsi="楷体" w:eastAsia="楷体" w:cs="楷体"/>
          <w:bCs/>
          <w:sz w:val="32"/>
          <w:szCs w:val="32"/>
        </w:rPr>
        <w:t>（一）</w:t>
      </w:r>
      <w:r>
        <w:rPr>
          <w:rFonts w:hint="eastAsia" w:ascii="楷体" w:hAnsi="楷体" w:eastAsia="楷体" w:cs="楷体"/>
          <w:bCs/>
          <w:sz w:val="32"/>
          <w:szCs w:val="32"/>
          <w:lang w:val="en-US" w:eastAsia="zh-CN"/>
        </w:rPr>
        <w:t>项目</w:t>
      </w:r>
      <w:r>
        <w:rPr>
          <w:rFonts w:hint="eastAsia" w:ascii="楷体" w:hAnsi="楷体" w:eastAsia="楷体" w:cs="楷体"/>
          <w:bCs/>
          <w:sz w:val="32"/>
          <w:szCs w:val="32"/>
        </w:rPr>
        <w:t>来源</w:t>
      </w:r>
    </w:p>
    <w:p w14:paraId="27C167E7">
      <w:pPr>
        <w:pStyle w:val="14"/>
        <w:keepNext w:val="0"/>
        <w:keepLines w:val="0"/>
        <w:pageBreakBefore w:val="0"/>
        <w:widowControl/>
        <w:suppressLineNumbers w:val="0"/>
        <w:wordWrap/>
        <w:bidi w:val="0"/>
        <w:spacing w:line="560" w:lineRule="exact"/>
        <w:ind w:left="0"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为深入贯彻落实习近平总书记来陕考察时关于“因茶致富、因茶兴业，把茶叶这个产业做好”的重要指示精神，以及《陕西省人民政府办公厅关于茶产业高质量发展的意见》（陕政办发〔2023〕13号）相关要求，进一步加强地方名优特产保护，规范镇安象园茶的种植、生产与加工行为，提升产品质量和市场竞争力，推动地方经济高质量发展，陕西省市场监督管理局印发了</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000000"/>
          <w:sz w:val="32"/>
          <w:szCs w:val="32"/>
        </w:rPr>
        <w:t>关于下达2025年第一批陕西省地方标准</w:t>
      </w:r>
      <w:r>
        <w:rPr>
          <w:rFonts w:hint="eastAsia" w:ascii="仿宋_GB2312" w:hAnsi="仿宋_GB2312" w:eastAsia="仿宋_GB2312" w:cs="仿宋_GB2312"/>
          <w:color w:val="000000"/>
          <w:kern w:val="0"/>
          <w:sz w:val="32"/>
          <w:szCs w:val="32"/>
          <w:lang w:val="en-US" w:eastAsia="zh-CN" w:bidi="ar"/>
        </w:rPr>
        <w:t>项目计划的函</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000000"/>
          <w:kern w:val="0"/>
          <w:sz w:val="32"/>
          <w:szCs w:val="32"/>
          <w:lang w:val="en-US" w:eastAsia="zh-CN" w:bidi="ar"/>
        </w:rPr>
        <w:t>陕市监标函〔2025〕32号</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auto"/>
          <w:sz w:val="32"/>
          <w:szCs w:val="32"/>
          <w:lang w:val="en-US" w:eastAsia="zh-CN"/>
        </w:rPr>
        <w:t>将《地理标志产品质量要求 镇安象园茶》（项目编号：SDBXM 028-2025）</w:t>
      </w:r>
      <w:r>
        <w:rPr>
          <w:rFonts w:hint="eastAsia" w:ascii="仿宋_GB2312" w:hAnsi="仿宋_GB2312" w:eastAsia="仿宋_GB2312" w:cs="仿宋_GB2312"/>
          <w:sz w:val="32"/>
          <w:szCs w:val="32"/>
          <w:lang w:val="en-US" w:eastAsia="zh-CN"/>
        </w:rPr>
        <w:t>列入地方标准制定计划。该标准由镇安县市场监督管理局提出并牵头，镇安县农业农村局、镇安县茶叶产业协会、中量检测认证有限公司、陕西盛华茶叶发展有限责任公司等单位共同起草完成。</w:t>
      </w:r>
    </w:p>
    <w:p w14:paraId="2781CB81">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（二）目的意义</w:t>
      </w:r>
    </w:p>
    <w:p w14:paraId="3928CE43">
      <w:pPr>
        <w:pStyle w:val="9"/>
        <w:keepNext w:val="0"/>
        <w:keepLines w:val="0"/>
        <w:pageBreakBefore w:val="0"/>
        <w:widowControl w:val="0"/>
        <w:numPr>
          <w:ilvl w:val="0"/>
          <w:numId w:val="0"/>
        </w:numPr>
        <w:kinsoku/>
        <w:wordWrap/>
        <w:overflowPunct/>
        <w:topLinePunct w:val="0"/>
        <w:autoSpaceDE/>
        <w:autoSpaceDN/>
        <w:bidi w:val="0"/>
        <w:adjustRightInd/>
        <w:snapToGrid w:val="0"/>
        <w:spacing w:after="0" w:line="56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1.衔接政策要求，完善制度支撑，推动产业规范发展</w:t>
      </w:r>
    </w:p>
    <w:p w14:paraId="5B8167B7">
      <w:pPr>
        <w:pStyle w:val="9"/>
        <w:keepNext w:val="0"/>
        <w:keepLines w:val="0"/>
        <w:pageBreakBefore w:val="0"/>
        <w:widowControl w:val="0"/>
        <w:numPr>
          <w:ilvl w:val="0"/>
          <w:numId w:val="0"/>
        </w:numPr>
        <w:kinsoku/>
        <w:wordWrap/>
        <w:overflowPunct/>
        <w:topLinePunct w:val="0"/>
        <w:autoSpaceDE/>
        <w:autoSpaceDN/>
        <w:bidi w:val="0"/>
        <w:adjustRightInd/>
        <w:snapToGrid w:val="0"/>
        <w:spacing w:after="0"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制定本标准是深入贯彻落实国家和陕西省关于推动茶产业高质量发展决策部署的具体举措，也是落实《国家知识产权局关于加强地理标志保护的指导意见》《陕西省“十四五”茶产业发展规划》等政策文件的重要抓手。镇安县委、县政府紧扣“品种培优、品质提升、品牌打造、标准化生产”主线，全力推进“镇安象园茶”区域公用品牌建设。截至2024年底，全县茶园面积达11.75万亩，茶叶年产量1300吨，年产值2.7亿元。2024年3月，“镇安象园茶”成功注册为国家地理标志产品质量要求，同年4月出台《“镇安象园茶”地理标志产品质量要求使用管理办法》（镇政办发</w:t>
      </w:r>
      <w:r>
        <w:rPr>
          <w:rFonts w:hint="eastAsia" w:ascii="仿宋_GB2312" w:hAnsi="仿宋_GB2312" w:eastAsia="仿宋_GB2312" w:cs="仿宋_GB2312"/>
          <w:kern w:val="2"/>
          <w:sz w:val="32"/>
          <w:szCs w:val="32"/>
          <w:lang w:val="en-US" w:eastAsia="zh-CN"/>
        </w:rPr>
        <w:t>〔2024〕</w:t>
      </w:r>
      <w:r>
        <w:rPr>
          <w:rFonts w:hint="eastAsia" w:ascii="仿宋_GB2312" w:hAnsi="仿宋_GB2312" w:eastAsia="仿宋_GB2312" w:cs="仿宋_GB2312"/>
          <w:kern w:val="2"/>
          <w:sz w:val="32"/>
          <w:szCs w:val="32"/>
          <w:lang w:val="en-US" w:eastAsia="zh-CN" w:bidi="ar-SA"/>
        </w:rPr>
        <w:t>21号）和《关于规范使用地理标志及有机产品有关标识的通知》（镇市监发</w:t>
      </w:r>
      <w:r>
        <w:rPr>
          <w:rFonts w:hint="eastAsia" w:ascii="仿宋_GB2312" w:hAnsi="仿宋_GB2312" w:eastAsia="仿宋_GB2312" w:cs="仿宋_GB2312"/>
          <w:kern w:val="2"/>
          <w:sz w:val="32"/>
          <w:szCs w:val="32"/>
          <w:lang w:val="en-US" w:eastAsia="zh-CN"/>
        </w:rPr>
        <w:t>〔2024〕</w:t>
      </w:r>
      <w:r>
        <w:rPr>
          <w:rFonts w:hint="eastAsia" w:ascii="仿宋_GB2312" w:hAnsi="仿宋_GB2312" w:eastAsia="仿宋_GB2312" w:cs="仿宋_GB2312"/>
          <w:kern w:val="2"/>
          <w:sz w:val="32"/>
          <w:szCs w:val="32"/>
          <w:lang w:val="en-US" w:eastAsia="zh-CN" w:bidi="ar-SA"/>
        </w:rPr>
        <w:t>41号）两个地理标志标识及商标使用相关文件，镇安象园茶品牌保护工作正式启动；2025年9月25日，“镇安象园茶”获得国家地理标志产品认定并实施保护（国家知识产权局第646号公告），标志着其品牌保护体系迈入新阶。这三个关键节点环环相扣、层层递进，共同为</w:t>
      </w:r>
      <w:r>
        <w:rPr>
          <w:rFonts w:hint="eastAsia" w:ascii="仿宋_GB2312" w:hAnsi="仿宋_GB2312" w:eastAsia="仿宋_GB2312" w:cs="仿宋_GB2312"/>
          <w:spacing w:val="-11"/>
          <w:kern w:val="2"/>
          <w:sz w:val="32"/>
          <w:szCs w:val="32"/>
          <w:lang w:val="en-US" w:eastAsia="zh-CN" w:bidi="ar-SA"/>
        </w:rPr>
        <w:t>“镇安象园茶”品牌的规范化管理和可持续发展奠定了坚实的基础。</w:t>
      </w:r>
    </w:p>
    <w:p w14:paraId="2354991E">
      <w:pPr>
        <w:pStyle w:val="9"/>
        <w:keepNext w:val="0"/>
        <w:keepLines w:val="0"/>
        <w:pageBreakBefore w:val="0"/>
        <w:widowControl w:val="0"/>
        <w:numPr>
          <w:ilvl w:val="0"/>
          <w:numId w:val="0"/>
        </w:numPr>
        <w:kinsoku/>
        <w:wordWrap/>
        <w:overflowPunct/>
        <w:topLinePunct w:val="0"/>
        <w:autoSpaceDE/>
        <w:autoSpaceDN/>
        <w:bidi w:val="0"/>
        <w:adjustRightInd/>
        <w:snapToGrid w:val="0"/>
        <w:spacing w:after="0"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在此背景下，制定《地理标志产品质量要求 镇安象园茶》省级地方标准，不仅是对上位政策和管理规则的技术细化，更是将行政管理要求转化为可操作、可监督、可评价的技术规范的关键路径。本标准严格依据国家知识产权局公告划定的保护范围（涵盖达仁镇、柴坪镇、月河镇、木王镇、庙沟镇、云盖寺镇、回龙镇、青铜关镇、永乐街道共9个镇街），明确产品分类、原料要求、加工工艺、感官与理化指标、检验方法及包装贮运等全链条技术要求，有助于打通政策落地“最后一公里”，推动“镇安象园茶”产业由行政推动向标准引领转型升级，在已有基础上实现更有序、更可持续的发展。</w:t>
      </w:r>
    </w:p>
    <w:p w14:paraId="02AD275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2.明确镇安县茶产区特有的地理环境与生态条件，体现“镇安象园茶”独特品质特征。</w:t>
      </w:r>
    </w:p>
    <w:p w14:paraId="41716FB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镇安象园茶”产自秦岭南麓、商洛市镇安县中西部高海拔区域，核心产区海拔普遍在800米以上，地处我国南北气候过渡带，属亚热带向暖温带过渡的湿润半湿润气候。年均气温12.2℃，年降水量804.8毫米，无霜期206天，年日照时数1947.4小时。该区域气候温润、云雾缭绕、昼夜温差大、土壤富含有机质，为茶树生长提供了优越的生态条件。在此独特环境中，茶树新梢生长期长，纤维素合成缓慢，芽叶持嫩性强，内含物质丰富，形成了“色绿、香郁、味甘、形美”的典型品质特征。所制绿茶（如象园雾毫、毛尖、炒青）具有天然栗香高长、滋味鲜爽回甘、汤色清绿明亮等特点；红茶则香气甜纯、汤色红亮、滋味醇厚。这些由特定地理环境与传统工艺共同塑造的感官与理化特性，这种由特定地域生态条件孕育的独特品质，正是“镇安象园茶”作为地理标志产品的核心价值所在。</w:t>
      </w:r>
    </w:p>
    <w:p w14:paraId="5E005A2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通过科学设定感官品质和理化指标，将地域生态优势转化为可量化、可验证的技术参数，有效固化产品原真性与一致性，确保“镇安象园茶”名副其实，真正实现“靠山吃山、以标护品、以质取胜”的高质量发展目标。</w:t>
      </w:r>
    </w:p>
    <w:p w14:paraId="5536B7E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宋体" w:hAnsi="宋体" w:eastAsia="宋体" w:cs="宋体"/>
          <w:sz w:val="28"/>
          <w:szCs w:val="28"/>
          <w:lang w:val="en-US" w:eastAsia="zh-CN"/>
        </w:rPr>
      </w:pPr>
      <w:r>
        <w:rPr>
          <w:rFonts w:hint="eastAsia" w:ascii="楷体" w:hAnsi="楷体" w:eastAsia="楷体" w:cs="楷体"/>
          <w:sz w:val="32"/>
          <w:szCs w:val="32"/>
          <w:lang w:val="en-US" w:eastAsia="zh-CN"/>
        </w:rPr>
        <w:t>3.规范茶叶生产企业的质量管理行为，提升质量控制能力，赋能产业高质量发展。</w:t>
      </w:r>
    </w:p>
    <w:p w14:paraId="560AA87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C0C0C"/>
          <w:sz w:val="32"/>
          <w:szCs w:val="32"/>
          <w:lang w:val="en-US" w:eastAsia="zh-CN"/>
        </w:rPr>
      </w:pPr>
      <w:r>
        <w:rPr>
          <w:rFonts w:hint="eastAsia" w:ascii="仿宋_GB2312" w:hAnsi="仿宋_GB2312" w:eastAsia="仿宋_GB2312" w:cs="仿宋_GB2312"/>
          <w:color w:val="0C0C0C"/>
          <w:sz w:val="32"/>
          <w:szCs w:val="32"/>
          <w:lang w:val="en-US" w:eastAsia="zh-CN"/>
        </w:rPr>
        <w:t>目前镇安象园茶产业发展态势良好，但仍面临诸多制约因素：</w:t>
      </w:r>
    </w:p>
    <w:p w14:paraId="48676062">
      <w:pPr>
        <w:keepNext w:val="0"/>
        <w:keepLines w:val="0"/>
        <w:pageBreakBefore w:val="0"/>
        <w:numPr>
          <w:ilvl w:val="0"/>
          <w:numId w:val="0"/>
        </w:numPr>
        <w:kinsoku/>
        <w:wordWrap/>
        <w:overflowPunct w:val="0"/>
        <w:topLinePunct/>
        <w:bidi w:val="0"/>
        <w:adjustRightInd/>
        <w:spacing w:line="560" w:lineRule="exact"/>
        <w:ind w:firstLine="640" w:firstLineChars="200"/>
        <w:textAlignment w:val="auto"/>
        <w:rPr>
          <w:rFonts w:hint="eastAsia" w:ascii="仿宋_GB2312" w:hAnsi="仿宋_GB2312" w:eastAsia="仿宋_GB2312" w:cs="仿宋_GB2312"/>
          <w:color w:val="0C0C0C"/>
          <w:sz w:val="32"/>
          <w:szCs w:val="32"/>
          <w:lang w:val="en-US" w:eastAsia="zh-CN"/>
        </w:rPr>
      </w:pPr>
      <w:r>
        <w:rPr>
          <w:rFonts w:hint="eastAsia" w:ascii="仿宋_GB2312" w:hAnsi="仿宋_GB2312" w:eastAsia="仿宋_GB2312" w:cs="仿宋_GB2312"/>
          <w:color w:val="0C0C0C"/>
          <w:sz w:val="32"/>
          <w:szCs w:val="32"/>
          <w:lang w:val="en-US" w:eastAsia="zh-CN"/>
        </w:rPr>
        <w:t>——种植环节：部分茶农过度依赖化肥、除草剂，影响茶叶生态品质与安全；</w:t>
      </w:r>
    </w:p>
    <w:p w14:paraId="0292277F">
      <w:pPr>
        <w:keepNext w:val="0"/>
        <w:keepLines w:val="0"/>
        <w:pageBreakBefore w:val="0"/>
        <w:numPr>
          <w:ilvl w:val="0"/>
          <w:numId w:val="0"/>
        </w:numPr>
        <w:kinsoku/>
        <w:wordWrap/>
        <w:overflowPunct w:val="0"/>
        <w:topLinePunct/>
        <w:bidi w:val="0"/>
        <w:adjustRightInd/>
        <w:spacing w:line="560" w:lineRule="exact"/>
        <w:ind w:firstLine="640" w:firstLineChars="200"/>
        <w:textAlignment w:val="auto"/>
        <w:rPr>
          <w:rFonts w:hint="eastAsia" w:ascii="仿宋_GB2312" w:hAnsi="仿宋_GB2312" w:eastAsia="仿宋_GB2312" w:cs="仿宋_GB2312"/>
          <w:color w:val="0C0C0C"/>
          <w:sz w:val="32"/>
          <w:szCs w:val="32"/>
          <w:lang w:val="en-US" w:eastAsia="zh-CN"/>
        </w:rPr>
      </w:pPr>
      <w:r>
        <w:rPr>
          <w:rFonts w:hint="eastAsia" w:ascii="仿宋_GB2312" w:hAnsi="仿宋_GB2312" w:eastAsia="仿宋_GB2312" w:cs="仿宋_GB2312"/>
          <w:color w:val="0C0C0C"/>
          <w:sz w:val="32"/>
          <w:szCs w:val="32"/>
          <w:lang w:val="en-US" w:eastAsia="zh-CN"/>
        </w:rPr>
        <w:t>——加工环节：茶厂数量多但规模小、工艺落后、产品同质化严重，缺乏统一技术规范；</w:t>
      </w:r>
    </w:p>
    <w:p w14:paraId="196EF9DB">
      <w:pPr>
        <w:keepNext w:val="0"/>
        <w:keepLines w:val="0"/>
        <w:pageBreakBefore w:val="0"/>
        <w:numPr>
          <w:ilvl w:val="0"/>
          <w:numId w:val="0"/>
        </w:numPr>
        <w:kinsoku/>
        <w:wordWrap/>
        <w:overflowPunct w:val="0"/>
        <w:topLinePunct/>
        <w:bidi w:val="0"/>
        <w:adjustRightInd/>
        <w:spacing w:line="560" w:lineRule="exact"/>
        <w:ind w:firstLine="640" w:firstLineChars="200"/>
        <w:textAlignment w:val="auto"/>
        <w:rPr>
          <w:rFonts w:hint="eastAsia" w:ascii="仿宋_GB2312" w:hAnsi="仿宋_GB2312" w:eastAsia="仿宋_GB2312" w:cs="仿宋_GB2312"/>
          <w:color w:val="0C0C0C"/>
          <w:sz w:val="32"/>
          <w:szCs w:val="32"/>
          <w:lang w:val="en-US" w:eastAsia="zh-CN"/>
        </w:rPr>
      </w:pPr>
      <w:r>
        <w:rPr>
          <w:rFonts w:hint="eastAsia" w:ascii="仿宋_GB2312" w:hAnsi="仿宋_GB2312" w:eastAsia="仿宋_GB2312" w:cs="仿宋_GB2312"/>
          <w:color w:val="0C0C0C"/>
          <w:sz w:val="32"/>
          <w:szCs w:val="32"/>
          <w:lang w:val="en-US" w:eastAsia="zh-CN"/>
        </w:rPr>
        <w:t>——包装环节：存在过度包装、标识不清等问题，增加成本且不利于绿色消费；</w:t>
      </w:r>
    </w:p>
    <w:p w14:paraId="1601A7A5">
      <w:pPr>
        <w:keepNext w:val="0"/>
        <w:keepLines w:val="0"/>
        <w:pageBreakBefore w:val="0"/>
        <w:numPr>
          <w:ilvl w:val="0"/>
          <w:numId w:val="0"/>
        </w:numPr>
        <w:kinsoku/>
        <w:wordWrap/>
        <w:overflowPunct w:val="0"/>
        <w:topLinePunct/>
        <w:bidi w:val="0"/>
        <w:adjustRightInd/>
        <w:spacing w:line="560" w:lineRule="exact"/>
        <w:ind w:firstLine="640" w:firstLineChars="200"/>
        <w:textAlignment w:val="auto"/>
        <w:rPr>
          <w:rFonts w:hint="eastAsia" w:ascii="仿宋_GB2312" w:hAnsi="仿宋_GB2312" w:eastAsia="仿宋_GB2312" w:cs="仿宋_GB2312"/>
          <w:color w:val="0C0C0C"/>
          <w:sz w:val="32"/>
          <w:szCs w:val="32"/>
          <w:lang w:val="en-US" w:eastAsia="zh-CN"/>
        </w:rPr>
      </w:pPr>
      <w:r>
        <w:rPr>
          <w:rFonts w:hint="eastAsia" w:ascii="仿宋_GB2312" w:hAnsi="仿宋_GB2312" w:eastAsia="仿宋_GB2312" w:cs="仿宋_GB2312"/>
          <w:color w:val="0C0C0C"/>
          <w:sz w:val="32"/>
          <w:szCs w:val="32"/>
          <w:lang w:val="en-US" w:eastAsia="zh-CN"/>
        </w:rPr>
        <w:t>——质量管理：缺乏统一的产品标准，市场上以外地茶冒充“镇安象园茶”的现象时有发生，损害品牌公信力</w:t>
      </w:r>
    </w:p>
    <w:p w14:paraId="644534FA">
      <w:pPr>
        <w:keepNext w:val="0"/>
        <w:keepLines w:val="0"/>
        <w:pageBreakBefore w:val="0"/>
        <w:numPr>
          <w:ilvl w:val="0"/>
          <w:numId w:val="0"/>
        </w:numPr>
        <w:kinsoku/>
        <w:wordWrap/>
        <w:overflowPunct w:val="0"/>
        <w:topLinePunct/>
        <w:bidi w:val="0"/>
        <w:adjustRightInd/>
        <w:spacing w:line="560" w:lineRule="exact"/>
        <w:ind w:firstLine="640" w:firstLineChars="200"/>
        <w:textAlignment w:val="auto"/>
        <w:rPr>
          <w:rFonts w:hint="eastAsia" w:ascii="仿宋_GB2312" w:hAnsi="仿宋_GB2312" w:eastAsia="仿宋_GB2312" w:cs="仿宋_GB2312"/>
          <w:color w:val="0C0C0C"/>
          <w:sz w:val="32"/>
          <w:szCs w:val="32"/>
          <w:lang w:val="en-US" w:eastAsia="zh-CN"/>
        </w:rPr>
      </w:pPr>
      <w:r>
        <w:rPr>
          <w:rFonts w:hint="eastAsia" w:ascii="仿宋_GB2312" w:hAnsi="仿宋_GB2312" w:eastAsia="仿宋_GB2312" w:cs="仿宋_GB2312"/>
          <w:color w:val="0C0C0C"/>
          <w:sz w:val="32"/>
          <w:szCs w:val="32"/>
          <w:lang w:val="en-US" w:eastAsia="zh-CN"/>
        </w:rPr>
        <w:t>本标准紧扣地理标志产品管理要求，系统规定了产品种类（象园雾毫茶、毛尖茶、炒青茶、红茶）及其等级划分，明确各级别鲜叶原料组成、加工工艺。同时，标准对取样、检验、标签、包装、运输、贮存等环节作出规范，为生产企业提供全过程质量控制依据，为市场监管部门提供执法技术支撑，为消费者提供权威识别标准。标准实施后，将有效引导茶企依标生产、依规用标，遏制以次充好、假冒伪劣行为，全面提升“镇安象园茶”产品质量水平和品牌竞争力，助力镇安茶产业迈向标准化、品牌化发展新阶段。</w:t>
      </w:r>
    </w:p>
    <w:p w14:paraId="6F24C3A5">
      <w:pPr>
        <w:keepNext w:val="0"/>
        <w:keepLines w:val="0"/>
        <w:pageBreakBefore w:val="0"/>
        <w:widowControl w:val="0"/>
        <w:numPr>
          <w:ilvl w:val="0"/>
          <w:numId w:val="0"/>
        </w:numPr>
        <w:kinsoku/>
        <w:wordWrap/>
        <w:overflowPunct w:val="0"/>
        <w:topLinePunct/>
        <w:autoSpaceDE/>
        <w:autoSpaceDN/>
        <w:bidi w:val="0"/>
        <w:adjustRightInd/>
        <w:spacing w:line="56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（三）起草过程</w:t>
      </w:r>
    </w:p>
    <w:p w14:paraId="0AA855B7">
      <w:pPr>
        <w:pStyle w:val="9"/>
        <w:keepNext w:val="0"/>
        <w:keepLines w:val="0"/>
        <w:pageBreakBefore w:val="0"/>
        <w:widowControl w:val="0"/>
        <w:kinsoku/>
        <w:wordWrap/>
        <w:autoSpaceDE/>
        <w:autoSpaceDN/>
        <w:bidi w:val="0"/>
        <w:adjustRightInd/>
        <w:snapToGrid w:val="0"/>
        <w:spacing w:after="0" w:line="560" w:lineRule="exact"/>
        <w:ind w:left="0" w:leftChars="0"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rPr>
        <w:t>1</w:t>
      </w:r>
      <w:r>
        <w:rPr>
          <w:rFonts w:hint="eastAsia" w:ascii="楷体" w:hAnsi="楷体" w:eastAsia="楷体" w:cs="楷体"/>
          <w:sz w:val="32"/>
          <w:szCs w:val="32"/>
          <w:lang w:val="en-US" w:eastAsia="zh-CN"/>
        </w:rPr>
        <w:t>.开题讨论</w:t>
      </w:r>
    </w:p>
    <w:p w14:paraId="78B7856C">
      <w:pPr>
        <w:pStyle w:val="9"/>
        <w:keepNext w:val="0"/>
        <w:keepLines w:val="0"/>
        <w:pageBreakBefore w:val="0"/>
        <w:widowControl w:val="0"/>
        <w:kinsoku/>
        <w:wordWrap/>
        <w:autoSpaceDE/>
        <w:autoSpaceDN/>
        <w:bidi w:val="0"/>
        <w:adjustRightInd/>
        <w:snapToGrid w:val="0"/>
        <w:spacing w:after="0" w:line="560" w:lineRule="exact"/>
        <w:ind w:left="0" w:leftChars="0" w:firstLine="640" w:firstLineChars="200"/>
        <w:textAlignment w:val="auto"/>
        <w:rPr>
          <w:rFonts w:hint="eastAsia" w:ascii="仿宋_GB2312" w:hAnsi="仿宋_GB2312" w:eastAsia="仿宋_GB2312" w:cs="仿宋_GB2312"/>
          <w:color w:val="0C0C0C"/>
          <w:kern w:val="2"/>
          <w:sz w:val="32"/>
          <w:szCs w:val="32"/>
          <w:lang w:val="en-US" w:eastAsia="zh-CN" w:bidi="ar-SA"/>
        </w:rPr>
      </w:pPr>
      <w:r>
        <w:rPr>
          <w:rFonts w:hint="eastAsia" w:ascii="仿宋_GB2312" w:hAnsi="仿宋_GB2312" w:eastAsia="仿宋_GB2312" w:cs="仿宋_GB2312"/>
          <w:color w:val="0C0C0C"/>
          <w:kern w:val="2"/>
          <w:sz w:val="32"/>
          <w:szCs w:val="32"/>
          <w:lang w:val="en-US" w:eastAsia="zh-CN" w:bidi="ar-SA"/>
        </w:rPr>
        <w:t>2025年6月，镇安县市场监督管理局组织召开了《</w:t>
      </w:r>
      <w:bookmarkStart w:id="17" w:name="_GoBack"/>
      <w:bookmarkEnd w:id="17"/>
      <w:r>
        <w:rPr>
          <w:rFonts w:hint="eastAsia" w:ascii="仿宋_GB2312" w:hAnsi="仿宋_GB2312" w:eastAsia="仿宋_GB2312" w:cs="仿宋_GB2312"/>
          <w:color w:val="0C0C0C"/>
          <w:kern w:val="2"/>
          <w:sz w:val="32"/>
          <w:szCs w:val="32"/>
          <w:lang w:val="en-US" w:eastAsia="zh-CN" w:bidi="ar-SA"/>
        </w:rPr>
        <w:t>地理标志产品质量要求 镇安象园茶》编制工作专题会。镇安县茶叶协会系统阐述了标准选题背景、研究目标、内容框架、技术路线、组织分工及预期成果。经参编单位充分论证，会议达成三项关键成果：</w:t>
      </w:r>
    </w:p>
    <w:p w14:paraId="519E9D75">
      <w:pPr>
        <w:pStyle w:val="9"/>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0" w:firstLineChars="200"/>
        <w:textAlignment w:val="auto"/>
        <w:rPr>
          <w:rFonts w:hint="eastAsia" w:ascii="仿宋_GB2312" w:hAnsi="仿宋_GB2312" w:eastAsia="仿宋_GB2312" w:cs="仿宋_GB2312"/>
          <w:color w:val="0C0C0C"/>
          <w:kern w:val="2"/>
          <w:sz w:val="32"/>
          <w:szCs w:val="32"/>
          <w:lang w:val="en-US" w:eastAsia="zh-CN" w:bidi="ar-SA"/>
        </w:rPr>
      </w:pPr>
      <w:r>
        <w:rPr>
          <w:rFonts w:hint="eastAsia" w:ascii="仿宋_GB2312" w:hAnsi="仿宋_GB2312" w:eastAsia="仿宋_GB2312" w:cs="仿宋_GB2312"/>
          <w:color w:val="0C0C0C"/>
          <w:kern w:val="2"/>
          <w:sz w:val="32"/>
          <w:szCs w:val="32"/>
          <w:lang w:val="en-US" w:eastAsia="zh-CN" w:bidi="ar-SA"/>
        </w:rPr>
        <w:t>——明确标准选题与适用范围，</w:t>
      </w:r>
      <w:r>
        <w:rPr>
          <w:rFonts w:hint="eastAsia" w:ascii="仿宋_GB2312" w:hAnsi="仿宋_GB2312" w:eastAsia="仿宋_GB2312" w:cs="仿宋_GB2312"/>
          <w:sz w:val="32"/>
          <w:szCs w:val="32"/>
        </w:rPr>
        <w:t>确定标准</w:t>
      </w:r>
      <w:r>
        <w:rPr>
          <w:rFonts w:hint="eastAsia" w:ascii="仿宋_GB2312" w:hAnsi="仿宋_GB2312" w:eastAsia="仿宋_GB2312" w:cs="仿宋_GB2312"/>
          <w:sz w:val="32"/>
          <w:szCs w:val="32"/>
          <w:lang w:val="en-US" w:eastAsia="zh-CN"/>
        </w:rPr>
        <w:t>编制</w:t>
      </w:r>
      <w:r>
        <w:rPr>
          <w:rFonts w:hint="eastAsia" w:ascii="仿宋_GB2312" w:hAnsi="仿宋_GB2312" w:eastAsia="仿宋_GB2312" w:cs="仿宋_GB2312"/>
          <w:sz w:val="32"/>
          <w:szCs w:val="32"/>
        </w:rPr>
        <w:t>原则和依据</w:t>
      </w:r>
      <w:r>
        <w:rPr>
          <w:rFonts w:hint="eastAsia" w:ascii="仿宋_GB2312" w:hAnsi="仿宋_GB2312" w:eastAsia="仿宋_GB2312" w:cs="仿宋_GB2312"/>
          <w:color w:val="0C0C0C"/>
          <w:kern w:val="2"/>
          <w:sz w:val="32"/>
          <w:szCs w:val="32"/>
          <w:lang w:val="en-US" w:eastAsia="zh-CN" w:bidi="ar-SA"/>
        </w:rPr>
        <w:t>，紧扣地理标志产品管理要求；</w:t>
      </w:r>
    </w:p>
    <w:p w14:paraId="4F528780">
      <w:pPr>
        <w:pStyle w:val="9"/>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0" w:firstLineChars="200"/>
        <w:textAlignment w:val="auto"/>
        <w:rPr>
          <w:rFonts w:hint="eastAsia" w:ascii="仿宋_GB2312" w:hAnsi="仿宋_GB2312" w:eastAsia="仿宋_GB2312" w:cs="仿宋_GB2312"/>
          <w:color w:val="0C0C0C"/>
          <w:kern w:val="2"/>
          <w:sz w:val="32"/>
          <w:szCs w:val="32"/>
          <w:lang w:val="en-US" w:eastAsia="zh-CN" w:bidi="ar-SA"/>
        </w:rPr>
      </w:pPr>
      <w:r>
        <w:rPr>
          <w:rFonts w:hint="eastAsia" w:ascii="仿宋_GB2312" w:hAnsi="仿宋_GB2312" w:eastAsia="仿宋_GB2312" w:cs="仿宋_GB2312"/>
          <w:color w:val="0C0C0C"/>
          <w:kern w:val="2"/>
          <w:sz w:val="32"/>
          <w:szCs w:val="32"/>
          <w:lang w:val="en-US" w:eastAsia="zh-CN" w:bidi="ar-SA"/>
        </w:rPr>
        <w:t>——成立标准起草组，明确镇安县市场监督管理局为项目主导单位，镇安县农业农村局、镇安县特色产业发展中心、镇安县茶叶产业协会、中量检测认证有限公司、陕西盛华茶叶发展有限责任公司等为参与单位；</w:t>
      </w:r>
    </w:p>
    <w:p w14:paraId="04D17370">
      <w:pPr>
        <w:pStyle w:val="9"/>
        <w:keepNext w:val="0"/>
        <w:keepLines w:val="0"/>
        <w:pageBreakBefore w:val="0"/>
        <w:kinsoku/>
        <w:wordWrap/>
        <w:overflowPunct/>
        <w:topLinePunct w:val="0"/>
        <w:bidi w:val="0"/>
        <w:adjustRightInd/>
        <w:snapToGrid w:val="0"/>
        <w:spacing w:after="0" w:line="560" w:lineRule="exact"/>
        <w:ind w:left="0" w:leftChars="0" w:firstLine="640" w:firstLineChars="200"/>
        <w:textAlignment w:val="auto"/>
        <w:rPr>
          <w:rFonts w:hint="eastAsia" w:ascii="仿宋_GB2312" w:hAnsi="仿宋_GB2312" w:eastAsia="仿宋_GB2312" w:cs="仿宋_GB2312"/>
          <w:color w:val="0C0C0C"/>
          <w:kern w:val="2"/>
          <w:sz w:val="32"/>
          <w:szCs w:val="32"/>
          <w:lang w:val="en-US" w:eastAsia="zh-CN" w:bidi="ar-SA"/>
        </w:rPr>
      </w:pPr>
      <w:r>
        <w:rPr>
          <w:rFonts w:hint="eastAsia" w:ascii="仿宋_GB2312" w:hAnsi="仿宋_GB2312" w:eastAsia="仿宋_GB2312" w:cs="仿宋_GB2312"/>
          <w:color w:val="0C0C0C"/>
          <w:kern w:val="2"/>
          <w:sz w:val="32"/>
          <w:szCs w:val="32"/>
          <w:lang w:val="en-US" w:eastAsia="zh-CN" w:bidi="ar-SA"/>
        </w:rPr>
        <w:t>——审定编制工作方案，细化各阶段任务节点与责任分工。</w:t>
      </w:r>
    </w:p>
    <w:p w14:paraId="48DC1975">
      <w:pPr>
        <w:pStyle w:val="9"/>
        <w:keepNext w:val="0"/>
        <w:keepLines w:val="0"/>
        <w:pageBreakBefore w:val="0"/>
        <w:kinsoku/>
        <w:wordWrap/>
        <w:overflowPunct/>
        <w:topLinePunct w:val="0"/>
        <w:bidi w:val="0"/>
        <w:adjustRightInd/>
        <w:snapToGrid w:val="0"/>
        <w:spacing w:after="0" w:line="560" w:lineRule="exact"/>
        <w:ind w:left="0" w:leftChars="0"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2.组织调研</w:t>
      </w:r>
    </w:p>
    <w:p w14:paraId="1519BA9D">
      <w:pPr>
        <w:pStyle w:val="28"/>
        <w:keepNext w:val="0"/>
        <w:keepLines w:val="0"/>
        <w:pageBreakBefore w:val="0"/>
        <w:tabs>
          <w:tab w:val="center" w:pos="4201"/>
          <w:tab w:val="right" w:leader="dot" w:pos="9298"/>
        </w:tabs>
        <w:kinsoku/>
        <w:wordWrap/>
        <w:overflowPunct/>
        <w:topLinePunct w:val="0"/>
        <w:bidi w:val="0"/>
        <w:adjustRightInd/>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2024年5月起，起草组采取多种方式开展调研。一是赴</w:t>
      </w:r>
      <w:r>
        <w:rPr>
          <w:rFonts w:hint="eastAsia" w:ascii="仿宋_GB2312" w:hAnsi="仿宋_GB2312" w:eastAsia="仿宋_GB2312" w:cs="仿宋_GB2312"/>
          <w:color w:val="0C0C0C"/>
          <w:kern w:val="2"/>
          <w:sz w:val="32"/>
          <w:szCs w:val="32"/>
          <w:lang w:val="en-US" w:eastAsia="zh-CN" w:bidi="ar-SA"/>
        </w:rPr>
        <w:t>陕西盛华茶叶发展有限责任公司、镇安县象园茶叶有限责任公司、镇安县绿晟茶叶有限责任公司、镇安县栗乡缘茶叶专业合作社</w:t>
      </w:r>
      <w:r>
        <w:rPr>
          <w:rFonts w:hint="eastAsia" w:ascii="仿宋_GB2312" w:hAnsi="仿宋_GB2312" w:eastAsia="仿宋_GB2312" w:cs="仿宋_GB2312"/>
          <w:sz w:val="32"/>
          <w:szCs w:val="32"/>
          <w:lang w:val="en-US" w:eastAsia="zh-CN"/>
        </w:rPr>
        <w:t>等多家企业，实地考察</w:t>
      </w:r>
      <w:r>
        <w:rPr>
          <w:rFonts w:hint="eastAsia" w:ascii="仿宋_GB2312" w:hAnsi="仿宋_GB2312" w:eastAsia="仿宋_GB2312" w:cs="仿宋_GB2312"/>
          <w:sz w:val="32"/>
          <w:szCs w:val="32"/>
        </w:rPr>
        <w:t>展开</w:t>
      </w:r>
      <w:r>
        <w:rPr>
          <w:rFonts w:hint="eastAsia" w:ascii="仿宋_GB2312" w:hAnsi="仿宋_GB2312" w:eastAsia="仿宋_GB2312" w:cs="仿宋_GB2312"/>
          <w:sz w:val="32"/>
          <w:szCs w:val="32"/>
          <w:lang w:val="en-US" w:eastAsia="zh-CN"/>
        </w:rPr>
        <w:t>镇安象园茶</w:t>
      </w:r>
      <w:r>
        <w:rPr>
          <w:rFonts w:hint="eastAsia" w:ascii="仿宋_GB2312" w:hAnsi="仿宋_GB2312" w:eastAsia="仿宋_GB2312" w:cs="仿宋_GB2312"/>
          <w:sz w:val="32"/>
          <w:szCs w:val="32"/>
        </w:rPr>
        <w:t>生产</w:t>
      </w:r>
      <w:r>
        <w:rPr>
          <w:rFonts w:hint="eastAsia" w:ascii="仿宋_GB2312" w:hAnsi="仿宋_GB2312" w:eastAsia="仿宋_GB2312" w:cs="仿宋_GB2312"/>
          <w:sz w:val="32"/>
          <w:szCs w:val="32"/>
          <w:lang w:val="en-US" w:eastAsia="zh-CN"/>
        </w:rPr>
        <w:t>及产业</w:t>
      </w:r>
      <w:r>
        <w:rPr>
          <w:rFonts w:hint="eastAsia" w:ascii="仿宋_GB2312" w:hAnsi="仿宋_GB2312" w:eastAsia="仿宋_GB2312" w:cs="仿宋_GB2312"/>
          <w:sz w:val="32"/>
          <w:szCs w:val="32"/>
        </w:rPr>
        <w:t>现状调研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二是广泛收集相关标准规范和文献资料，系统研究GB 14881《食品安全国家标准  食品生产通用卫生规范》、GB/T 14487《茶叶感官评审术语》等多项标准规范。三是召开专题研讨会，与生产企业、商协会就标准适用范围、质量检测指标等要素等进行了细致和深入地交流。</w:t>
      </w:r>
    </w:p>
    <w:p w14:paraId="2D78C66E">
      <w:pPr>
        <w:pStyle w:val="9"/>
        <w:keepNext w:val="0"/>
        <w:keepLines w:val="0"/>
        <w:pageBreakBefore w:val="0"/>
        <w:numPr>
          <w:ilvl w:val="0"/>
          <w:numId w:val="0"/>
        </w:numPr>
        <w:kinsoku/>
        <w:wordWrap/>
        <w:overflowPunct/>
        <w:topLinePunct w:val="0"/>
        <w:bidi w:val="0"/>
        <w:adjustRightInd/>
        <w:snapToGrid w:val="0"/>
        <w:spacing w:after="0" w:line="560" w:lineRule="exact"/>
        <w:ind w:firstLine="640" w:firstLineChars="200"/>
        <w:textAlignment w:val="auto"/>
        <w:rPr>
          <w:rFonts w:hint="eastAsia" w:ascii="楷体" w:hAnsi="楷体" w:eastAsia="楷体" w:cs="楷体"/>
          <w:color w:val="0C0C0C"/>
          <w:kern w:val="2"/>
          <w:sz w:val="32"/>
          <w:szCs w:val="32"/>
          <w:lang w:val="en-US" w:eastAsia="zh-CN" w:bidi="ar-SA"/>
        </w:rPr>
      </w:pPr>
      <w:r>
        <w:rPr>
          <w:rFonts w:hint="eastAsia" w:ascii="楷体" w:hAnsi="楷体" w:eastAsia="楷体" w:cs="楷体"/>
          <w:color w:val="0C0C0C"/>
          <w:kern w:val="2"/>
          <w:sz w:val="32"/>
          <w:szCs w:val="32"/>
          <w:lang w:val="en-US" w:eastAsia="zh-CN" w:bidi="ar-SA"/>
        </w:rPr>
        <w:t>3.起草征求意见稿</w:t>
      </w:r>
    </w:p>
    <w:p w14:paraId="0DF670B6">
      <w:pPr>
        <w:pStyle w:val="9"/>
        <w:keepNext w:val="0"/>
        <w:keepLines w:val="0"/>
        <w:pageBreakBefore w:val="0"/>
        <w:numPr>
          <w:ilvl w:val="0"/>
          <w:numId w:val="0"/>
        </w:numPr>
        <w:kinsoku/>
        <w:wordWrap/>
        <w:overflowPunct/>
        <w:topLinePunct w:val="0"/>
        <w:bidi w:val="0"/>
        <w:adjustRightInd/>
        <w:snapToGrid w:val="0"/>
        <w:spacing w:after="0" w:line="560" w:lineRule="exact"/>
        <w:ind w:firstLine="640" w:firstLineChars="200"/>
        <w:textAlignment w:val="auto"/>
        <w:rPr>
          <w:rFonts w:hint="eastAsia" w:ascii="仿宋_GB2312" w:hAnsi="仿宋_GB2312" w:eastAsia="仿宋_GB2312" w:cs="仿宋_GB2312"/>
          <w:color w:val="0C0C0C"/>
          <w:kern w:val="2"/>
          <w:sz w:val="32"/>
          <w:szCs w:val="32"/>
          <w:lang w:val="en-US" w:eastAsia="zh-CN" w:bidi="ar-SA"/>
        </w:rPr>
      </w:pPr>
      <w:r>
        <w:rPr>
          <w:rFonts w:hint="eastAsia" w:ascii="仿宋_GB2312" w:hAnsi="仿宋_GB2312" w:eastAsia="仿宋_GB2312" w:cs="仿宋_GB2312"/>
          <w:color w:val="0C0C0C"/>
          <w:kern w:val="2"/>
          <w:sz w:val="32"/>
          <w:szCs w:val="32"/>
          <w:lang w:val="en-US" w:eastAsia="zh-CN" w:bidi="ar-SA"/>
        </w:rPr>
        <w:t>2025年7月，起草组对标准在企业的应用实现进行了可行性分析，并就选题与适用范围、标准化对象与标准要素、标准主要技术内容等等形成结论与共识。起草组严格依据GB/T 1.1-2020《标准化工作导则》结构要求，形成包含范围、规范性引用文件、术语定义等10章内容的工作组讨论稿。</w:t>
      </w:r>
    </w:p>
    <w:p w14:paraId="7C6AA5AC">
      <w:pPr>
        <w:pStyle w:val="9"/>
        <w:keepNext w:val="0"/>
        <w:keepLines w:val="0"/>
        <w:pageBreakBefore w:val="0"/>
        <w:widowControl w:val="0"/>
        <w:numPr>
          <w:ilvl w:val="0"/>
          <w:numId w:val="0"/>
        </w:numPr>
        <w:kinsoku/>
        <w:wordWrap/>
        <w:overflowPunct/>
        <w:topLinePunct w:val="0"/>
        <w:autoSpaceDE/>
        <w:autoSpaceDN/>
        <w:bidi w:val="0"/>
        <w:adjustRightInd/>
        <w:snapToGrid w:val="0"/>
        <w:spacing w:after="0" w:line="560" w:lineRule="exact"/>
        <w:ind w:firstLine="640" w:firstLineChars="200"/>
        <w:textAlignment w:val="auto"/>
        <w:rPr>
          <w:rFonts w:hint="eastAsia" w:ascii="仿宋_GB2312" w:hAnsi="仿宋_GB2312" w:eastAsia="仿宋_GB2312" w:cs="仿宋_GB2312"/>
          <w:color w:val="0C0C0C"/>
          <w:kern w:val="2"/>
          <w:sz w:val="32"/>
          <w:szCs w:val="32"/>
          <w:lang w:val="en-US" w:eastAsia="zh-CN" w:bidi="ar-SA"/>
        </w:rPr>
      </w:pPr>
      <w:r>
        <w:rPr>
          <w:rFonts w:hint="eastAsia" w:ascii="仿宋_GB2312" w:hAnsi="仿宋_GB2312" w:eastAsia="仿宋_GB2312" w:cs="仿宋_GB2312"/>
          <w:color w:val="0C0C0C"/>
          <w:kern w:val="2"/>
          <w:sz w:val="32"/>
          <w:szCs w:val="32"/>
          <w:lang w:val="en-US" w:eastAsia="zh-CN" w:bidi="ar-SA"/>
        </w:rPr>
        <w:t>为充分统一相关方面意见，起草组分别于2025年8月15日、2025年9月19日两次召开专题研讨会，由起草组与相关方从业人员座谈，就标准(工作组讨论稿)逐条逐句进行讨论，针对标准文件中的标准化对象、适用范围、使用边界、主要规范性要素、相关附录等内容征求意见。</w:t>
      </w:r>
    </w:p>
    <w:p w14:paraId="52879C24">
      <w:pPr>
        <w:pStyle w:val="9"/>
        <w:keepNext w:val="0"/>
        <w:keepLines w:val="0"/>
        <w:pageBreakBefore w:val="0"/>
        <w:widowControl w:val="0"/>
        <w:numPr>
          <w:ilvl w:val="0"/>
          <w:numId w:val="0"/>
        </w:numPr>
        <w:kinsoku/>
        <w:wordWrap/>
        <w:overflowPunct/>
        <w:topLinePunct w:val="0"/>
        <w:autoSpaceDE/>
        <w:autoSpaceDN/>
        <w:bidi w:val="0"/>
        <w:adjustRightInd/>
        <w:snapToGrid w:val="0"/>
        <w:spacing w:after="0" w:line="560" w:lineRule="exact"/>
        <w:ind w:left="0" w:leftChars="0" w:firstLine="640" w:firstLineChars="200"/>
        <w:textAlignment w:val="auto"/>
        <w:rPr>
          <w:rFonts w:hint="eastAsia" w:ascii="仿宋_GB2312" w:hAnsi="仿宋_GB2312" w:eastAsia="仿宋_GB2312" w:cs="仿宋_GB2312"/>
          <w:color w:val="0C0C0C"/>
          <w:kern w:val="2"/>
          <w:sz w:val="32"/>
          <w:szCs w:val="32"/>
          <w:lang w:val="en-US" w:eastAsia="zh-CN" w:bidi="ar-SA"/>
        </w:rPr>
      </w:pPr>
      <w:r>
        <w:rPr>
          <w:rFonts w:hint="eastAsia" w:ascii="仿宋_GB2312" w:hAnsi="仿宋_GB2312" w:eastAsia="仿宋_GB2312" w:cs="仿宋_GB2312"/>
          <w:color w:val="0C0C0C"/>
          <w:kern w:val="2"/>
          <w:sz w:val="32"/>
          <w:szCs w:val="32"/>
          <w:lang w:val="en-US" w:eastAsia="zh-CN" w:bidi="ar-SA"/>
        </w:rPr>
        <w:t>起草组随后根据收集的意见和建议对标准草案不断进行修完善，最终形成标准征求意见稿。</w:t>
      </w:r>
    </w:p>
    <w:p w14:paraId="20CB07A2">
      <w:pPr>
        <w:pStyle w:val="9"/>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1"/>
        <w:textAlignment w:val="auto"/>
        <w:rPr>
          <w:rFonts w:hint="eastAsia" w:ascii="楷体" w:hAnsi="楷体" w:eastAsia="楷体" w:cs="楷体"/>
          <w:color w:val="0C0C0C"/>
          <w:kern w:val="2"/>
          <w:sz w:val="32"/>
          <w:szCs w:val="32"/>
          <w:lang w:val="en-US" w:eastAsia="zh-CN" w:bidi="ar-SA"/>
        </w:rPr>
      </w:pPr>
      <w:r>
        <w:rPr>
          <w:rFonts w:hint="eastAsia" w:ascii="楷体" w:hAnsi="楷体" w:eastAsia="楷体" w:cs="楷体"/>
          <w:color w:val="0C0C0C"/>
          <w:kern w:val="2"/>
          <w:sz w:val="32"/>
          <w:szCs w:val="32"/>
          <w:lang w:val="en-US" w:eastAsia="zh-CN" w:bidi="ar-SA"/>
        </w:rPr>
        <w:t>4.征求意见处理，编制送审材料</w:t>
      </w:r>
    </w:p>
    <w:p w14:paraId="06CC6E77">
      <w:pPr>
        <w:pStyle w:val="9"/>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1"/>
        <w:textAlignment w:val="auto"/>
        <w:rPr>
          <w:rFonts w:hint="eastAsia" w:ascii="仿宋_GB2312" w:hAnsi="仿宋_GB2312" w:eastAsia="仿宋_GB2312" w:cs="仿宋_GB2312"/>
          <w:color w:val="0C0C0C"/>
          <w:kern w:val="2"/>
          <w:sz w:val="32"/>
          <w:szCs w:val="32"/>
          <w:lang w:val="en-US" w:eastAsia="zh-CN" w:bidi="ar-SA"/>
        </w:rPr>
      </w:pPr>
      <w:r>
        <w:rPr>
          <w:rFonts w:hint="eastAsia" w:ascii="仿宋_GB2312" w:hAnsi="仿宋_GB2312" w:eastAsia="仿宋_GB2312" w:cs="仿宋_GB2312"/>
          <w:color w:val="0C0C0C"/>
          <w:kern w:val="2"/>
          <w:sz w:val="32"/>
          <w:szCs w:val="32"/>
          <w:lang w:val="en-US" w:eastAsia="zh-CN" w:bidi="ar-SA"/>
        </w:rPr>
        <w:t>2025年10月24日至2025年11月23日，起草组采取双渠道公开征求意见：一是定向发送《征求意见函》至10家相关单位，收到3家单位反馈的28条意见，二是通过协会官网及行业平台公开征求意见，收到有效建议5条。经归纳梳理，其中29条为具有修改行、建设性的有效意见</w:t>
      </w:r>
    </w:p>
    <w:p w14:paraId="03EFB92A">
      <w:pPr>
        <w:pStyle w:val="9"/>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0" w:firstLineChars="200"/>
        <w:textAlignment w:val="auto"/>
        <w:rPr>
          <w:rFonts w:hint="eastAsia" w:ascii="仿宋_GB2312" w:hAnsi="仿宋_GB2312" w:eastAsia="仿宋_GB2312" w:cs="仿宋_GB2312"/>
          <w:color w:val="0C0C0C"/>
          <w:kern w:val="2"/>
          <w:sz w:val="32"/>
          <w:szCs w:val="32"/>
          <w:lang w:val="en-US" w:eastAsia="zh-CN" w:bidi="ar-SA"/>
        </w:rPr>
      </w:pPr>
      <w:r>
        <w:rPr>
          <w:rFonts w:hint="eastAsia" w:ascii="仿宋_GB2312" w:hAnsi="仿宋_GB2312" w:eastAsia="仿宋_GB2312" w:cs="仿宋_GB2312"/>
          <w:color w:val="0C0C0C"/>
          <w:kern w:val="2"/>
          <w:sz w:val="32"/>
          <w:szCs w:val="32"/>
          <w:lang w:val="en-US" w:eastAsia="zh-CN" w:bidi="ar-SA"/>
        </w:rPr>
        <w:t>2025年11月底，标准编制组对收到的意见逐一进行分析研判。最终采纳27条，部分采纳2条，不采纳0条，并根据意见修改形成标准送审稿。</w:t>
      </w:r>
    </w:p>
    <w:p w14:paraId="15E253F9">
      <w:pPr>
        <w:pStyle w:val="16"/>
        <w:keepNext w:val="0"/>
        <w:keepLines w:val="0"/>
        <w:pageBreakBefore w:val="0"/>
        <w:widowControl w:val="0"/>
        <w:kinsoku/>
        <w:wordWrap/>
        <w:overflowPunct/>
        <w:topLinePunct w:val="0"/>
        <w:autoSpaceDE/>
        <w:autoSpaceDN/>
        <w:bidi w:val="0"/>
        <w:adjustRightInd/>
        <w:snapToGrid w:val="0"/>
        <w:spacing w:before="0" w:after="0" w:line="560" w:lineRule="exact"/>
        <w:ind w:firstLine="640" w:firstLineChars="200"/>
        <w:jc w:val="both"/>
        <w:textAlignment w:val="auto"/>
        <w:rPr>
          <w:rFonts w:hint="eastAsia" w:ascii="黑体" w:hAnsi="黑体" w:eastAsia="黑体" w:cs="黑体"/>
          <w:b w:val="0"/>
          <w:bCs w:val="0"/>
        </w:rPr>
      </w:pPr>
      <w:bookmarkStart w:id="5" w:name="_Toc7711"/>
      <w:r>
        <w:rPr>
          <w:rFonts w:hint="eastAsia" w:ascii="黑体" w:hAnsi="黑体" w:eastAsia="黑体" w:cs="黑体"/>
          <w:b w:val="0"/>
          <w:bCs w:val="0"/>
        </w:rPr>
        <w:t>二、标准编制原则、主要内容及依据</w:t>
      </w:r>
      <w:bookmarkEnd w:id="5"/>
    </w:p>
    <w:p w14:paraId="42876799">
      <w:pPr>
        <w:pStyle w:val="9"/>
        <w:keepNext w:val="0"/>
        <w:keepLines w:val="0"/>
        <w:pageBreakBefore w:val="0"/>
        <w:kinsoku/>
        <w:wordWrap/>
        <w:overflowPunct/>
        <w:topLinePunct w:val="0"/>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标准编制依据GB/T 1.1-2020《标准化工作导则 第1部分：标准化文件的结构和起草规则》的规则编制。</w:t>
      </w:r>
    </w:p>
    <w:p w14:paraId="627AAEE3">
      <w:pPr>
        <w:keepNext w:val="0"/>
        <w:keepLines w:val="0"/>
        <w:pageBreakBefore w:val="0"/>
        <w:kinsoku/>
        <w:wordWrap/>
        <w:overflowPunct/>
        <w:topLinePunct w:val="0"/>
        <w:bidi w:val="0"/>
        <w:adjustRightInd/>
        <w:snapToGrid w:val="0"/>
        <w:spacing w:line="560" w:lineRule="exact"/>
        <w:ind w:firstLine="640" w:firstLineChars="200"/>
        <w:jc w:val="left"/>
        <w:textAlignment w:val="auto"/>
        <w:rPr>
          <w:rFonts w:hint="eastAsia" w:ascii="楷体" w:hAnsi="楷体" w:eastAsia="楷体" w:cs="楷体"/>
          <w:bCs/>
          <w:sz w:val="32"/>
          <w:szCs w:val="32"/>
        </w:rPr>
      </w:pPr>
      <w:r>
        <w:rPr>
          <w:rFonts w:hint="eastAsia" w:ascii="楷体" w:hAnsi="楷体" w:eastAsia="楷体" w:cs="楷体"/>
          <w:bCs/>
          <w:sz w:val="32"/>
          <w:szCs w:val="32"/>
        </w:rPr>
        <w:t>（一）编制原则</w:t>
      </w:r>
    </w:p>
    <w:p w14:paraId="78538C62">
      <w:pPr>
        <w:keepNext w:val="0"/>
        <w:keepLines w:val="0"/>
        <w:pageBreakBefore w:val="0"/>
        <w:kinsoku/>
        <w:wordWrap/>
        <w:overflowPunct/>
        <w:topLinePunct w:val="0"/>
        <w:bidi w:val="0"/>
        <w:adjustRightInd/>
        <w:snapToGrid w:val="0"/>
        <w:spacing w:line="56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rPr>
        <w:t>1</w:t>
      </w:r>
      <w:r>
        <w:rPr>
          <w:rFonts w:hint="eastAsia" w:ascii="仿宋_GB2312" w:hAnsi="仿宋_GB2312" w:eastAsia="仿宋_GB2312" w:cs="仿宋_GB2312"/>
          <w:kern w:val="2"/>
          <w:sz w:val="32"/>
          <w:szCs w:val="32"/>
          <w:lang w:val="en-US" w:eastAsia="zh-CN" w:bidi="ar-SA"/>
        </w:rPr>
        <w:t>.适用性原则。标准内容应适用于国家知识产权局2024年3月14日第1879期第69926634号、以及2025年9月25日第646号公告批准的镇安象园茶的生产与管理。在充分调研镇安县茶产业现状、资源禀赋与加工工艺基础上，结合现有国家、行业及地方标准要求，科学设定鲜叶分级、感官品质、理化指标等关键技术参数，力求技术要求科学合理、可操作、可推广，能够服务于“镇安象园茶”品牌保护与产业提质增效。</w:t>
      </w:r>
    </w:p>
    <w:p w14:paraId="39669B4B">
      <w:pPr>
        <w:keepNext w:val="0"/>
        <w:keepLines w:val="0"/>
        <w:pageBreakBefore w:val="0"/>
        <w:kinsoku/>
        <w:wordWrap/>
        <w:overflowPunct/>
        <w:topLinePunct w:val="0"/>
        <w:bidi w:val="0"/>
        <w:adjustRightInd/>
        <w:snapToGrid w:val="0"/>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规范性原则。本标准的制定应严格按照“四稿定标”的工作程序，符合《地方标准管理办法》的要求。标准的结构、要素以及编写体例符合GB/T 1.1-2020《标准化工作导则 第1部分：标准化文件的结构和起草规则》等规范性要求。</w:t>
      </w:r>
    </w:p>
    <w:p w14:paraId="4F7E4468">
      <w:pPr>
        <w:keepNext w:val="0"/>
        <w:keepLines w:val="0"/>
        <w:pageBreakBefore w:val="0"/>
        <w:kinsoku/>
        <w:wordWrap/>
        <w:overflowPunct/>
        <w:topLinePunct w:val="0"/>
        <w:bidi w:val="0"/>
        <w:adjustRightInd/>
        <w:snapToGrid w:val="0"/>
        <w:spacing w:line="560" w:lineRule="exact"/>
        <w:ind w:firstLine="640" w:firstLineChars="200"/>
        <w:jc w:val="left"/>
        <w:textAlignment w:val="auto"/>
        <w:rPr>
          <w:rFonts w:hint="eastAsia" w:ascii="仿宋_GB2312" w:hAnsi="仿宋_GB2312" w:eastAsia="仿宋_GB2312" w:cs="仿宋_GB2312"/>
          <w:i w:val="0"/>
          <w:iCs w:val="0"/>
          <w:caps w:val="0"/>
          <w:color w:val="2C2C36"/>
          <w:spacing w:val="3"/>
          <w:sz w:val="32"/>
          <w:szCs w:val="32"/>
          <w:shd w:val="clear" w:color="auto" w:fill="FFFFFF"/>
          <w:lang w:eastAsia="zh-CN"/>
        </w:rPr>
      </w:pPr>
      <w:r>
        <w:rPr>
          <w:rFonts w:hint="eastAsia" w:ascii="仿宋_GB2312" w:hAnsi="仿宋_GB2312" w:eastAsia="仿宋_GB2312" w:cs="仿宋_GB2312"/>
          <w:sz w:val="32"/>
          <w:szCs w:val="32"/>
          <w:lang w:val="en-US" w:eastAsia="zh-CN"/>
        </w:rPr>
        <w:t>3.先进性与地域特色融合原则</w:t>
      </w:r>
      <w:r>
        <w:rPr>
          <w:rFonts w:hint="eastAsia" w:ascii="仿宋_GB2312" w:hAnsi="仿宋_GB2312" w:eastAsia="仿宋_GB2312" w:cs="仿宋_GB2312"/>
          <w:sz w:val="32"/>
          <w:szCs w:val="32"/>
        </w:rPr>
        <w:t>。充分体现镇安县高海拔（800–1400米）、云雾多、昼夜温差大、土壤富硒等生态优势，将“色绿、香郁、味甘、形美”的整体品质特征细化为“栗香高长”“鲜爽回甘”“清绿明亮”等可感知、可评价的感官指标。理化指标方面，如水浸出物（特级绿茶≥40.0%）、水分（≤6.5%）等关键参数优于或等同于现行国家标准，部分指标（如灰分、粉末控制）严于一般绿茶要求，体现了高山茶内含物质丰富、持嫩性强的品质优势，确保标准兼具地域辨识度与技术先进性。</w:t>
      </w:r>
    </w:p>
    <w:p w14:paraId="79C88D2C">
      <w:pPr>
        <w:keepNext w:val="0"/>
        <w:keepLines w:val="0"/>
        <w:pageBreakBefore w:val="0"/>
        <w:kinsoku/>
        <w:wordWrap/>
        <w:overflowPunct/>
        <w:topLinePunct w:val="0"/>
        <w:bidi w:val="0"/>
        <w:adjustRightInd/>
        <w:snapToGrid w:val="0"/>
        <w:spacing w:line="560" w:lineRule="exact"/>
        <w:ind w:firstLine="640" w:firstLineChars="200"/>
        <w:jc w:val="left"/>
        <w:textAlignment w:val="auto"/>
        <w:rPr>
          <w:rFonts w:hint="eastAsia" w:ascii="仿宋_GB2312" w:hAnsi="仿宋_GB2312" w:eastAsia="仿宋_GB2312" w:cs="仿宋_GB2312"/>
          <w:i w:val="0"/>
          <w:iCs w:val="0"/>
          <w:caps w:val="0"/>
          <w:color w:val="2C2C36"/>
          <w:spacing w:val="3"/>
          <w:sz w:val="32"/>
          <w:szCs w:val="32"/>
          <w:shd w:val="clear" w:color="auto" w:fill="FFFFFF"/>
        </w:rPr>
      </w:pPr>
      <w:r>
        <w:rPr>
          <w:rFonts w:hint="eastAsia" w:ascii="仿宋_GB2312" w:hAnsi="仿宋_GB2312" w:eastAsia="仿宋_GB2312" w:cs="仿宋_GB2312"/>
          <w:sz w:val="32"/>
          <w:szCs w:val="32"/>
          <w:lang w:val="en-US" w:eastAsia="zh-CN"/>
        </w:rPr>
        <w:t>4.协调性原则。本标准与国家强制性食品安全标准高度衔接：污染物限量执行 GB 2762，农药最大残留限量执行 GB 2763 及 GB 2763.1；标签标识符合 GB 7718 及《食品标识管理规定》；包装要求符合 GB 23350 和 GH/T 1070；净含量计量符合《定量包装商品计量监督管理办法》（市场监管总局令〔2023〕第70号）。通过与上位法规、强制性标准及行业通用规范的无缝对接，为产品质量安全、市场监督执法和消费者权益保障提供技术依据。</w:t>
      </w:r>
    </w:p>
    <w:p w14:paraId="1C9D0F25">
      <w:pPr>
        <w:keepNext w:val="0"/>
        <w:keepLines w:val="0"/>
        <w:pageBreakBefore w:val="0"/>
        <w:kinsoku/>
        <w:wordWrap/>
        <w:overflowPunct/>
        <w:topLinePunct w:val="0"/>
        <w:bidi w:val="0"/>
        <w:adjustRightInd/>
        <w:snapToGrid w:val="0"/>
        <w:spacing w:line="560" w:lineRule="exact"/>
        <w:ind w:firstLine="640" w:firstLineChars="200"/>
        <w:jc w:val="left"/>
        <w:textAlignment w:val="auto"/>
        <w:rPr>
          <w:rFonts w:hint="eastAsia" w:ascii="楷体" w:hAnsi="楷体" w:eastAsia="楷体" w:cs="楷体"/>
          <w:bCs/>
          <w:sz w:val="32"/>
          <w:szCs w:val="32"/>
          <w:lang w:val="en-US" w:eastAsia="zh-CN"/>
        </w:rPr>
      </w:pPr>
      <w:r>
        <w:rPr>
          <w:rFonts w:hint="eastAsia" w:ascii="楷体" w:hAnsi="楷体" w:eastAsia="楷体" w:cs="楷体"/>
          <w:bCs/>
          <w:sz w:val="32"/>
          <w:szCs w:val="32"/>
        </w:rPr>
        <w:t>（二）主要内容</w:t>
      </w:r>
      <w:r>
        <w:rPr>
          <w:rFonts w:hint="eastAsia" w:ascii="楷体" w:hAnsi="楷体" w:eastAsia="楷体" w:cs="楷体"/>
          <w:bCs/>
          <w:sz w:val="32"/>
          <w:szCs w:val="32"/>
          <w:lang w:val="en-US" w:eastAsia="zh-CN"/>
        </w:rPr>
        <w:t>要素</w:t>
      </w:r>
    </w:p>
    <w:p w14:paraId="451372DF">
      <w:pPr>
        <w:pStyle w:val="28"/>
        <w:keepNext w:val="0"/>
        <w:keepLines w:val="0"/>
        <w:pageBreakBefore w:val="0"/>
        <w:widowControl w:val="0"/>
        <w:kinsoku/>
        <w:wordWrap/>
        <w:overflowPunct/>
        <w:topLinePunct w:val="0"/>
        <w:bidi w:val="0"/>
        <w:adjustRightInd/>
        <w:snapToGrid w:val="0"/>
        <w:spacing w:line="560" w:lineRule="exact"/>
        <w:ind w:firstLine="640"/>
        <w:jc w:val="left"/>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1.</w:t>
      </w:r>
      <w:r>
        <w:rPr>
          <w:rFonts w:hint="eastAsia" w:ascii="仿宋_GB2312" w:hAnsi="仿宋_GB2312" w:eastAsia="仿宋_GB2312" w:cs="仿宋_GB2312"/>
          <w:kern w:val="2"/>
          <w:sz w:val="32"/>
          <w:szCs w:val="32"/>
          <w:lang w:val="en-US" w:eastAsia="zh-CN"/>
        </w:rPr>
        <w:t>第一章</w:t>
      </w:r>
      <w:r>
        <w:rPr>
          <w:rFonts w:hint="eastAsia" w:ascii="仿宋_GB2312" w:hAnsi="仿宋_GB2312" w:eastAsia="仿宋_GB2312" w:cs="仿宋_GB2312"/>
          <w:kern w:val="2"/>
          <w:sz w:val="32"/>
          <w:szCs w:val="32"/>
        </w:rPr>
        <w:t>范围</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lang w:val="en-US" w:eastAsia="zh-CN"/>
        </w:rPr>
        <w:t>明确了标准文件的内容和适用范围。</w:t>
      </w:r>
      <w:r>
        <w:rPr>
          <w:rFonts w:hint="eastAsia" w:ascii="仿宋_GB2312" w:hAnsi="仿宋_GB2312" w:eastAsia="仿宋_GB2312" w:cs="仿宋_GB2312"/>
          <w:kern w:val="2"/>
          <w:sz w:val="32"/>
          <w:szCs w:val="32"/>
        </w:rPr>
        <w:t xml:space="preserve"> </w:t>
      </w:r>
    </w:p>
    <w:p w14:paraId="09FBFAFC">
      <w:pPr>
        <w:pStyle w:val="29"/>
        <w:keepNext w:val="0"/>
        <w:keepLines w:val="0"/>
        <w:pageBreakBefore w:val="0"/>
        <w:kinsoku/>
        <w:wordWrap/>
        <w:overflowPunct/>
        <w:topLinePunct w:val="0"/>
        <w:bidi w:val="0"/>
        <w:adjustRightInd/>
        <w:spacing w:line="560" w:lineRule="exact"/>
        <w:ind w:firstLine="420"/>
        <w:jc w:val="left"/>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w:t>
      </w:r>
      <w:r>
        <w:rPr>
          <w:rFonts w:hint="eastAsia" w:ascii="仿宋_GB2312" w:hAnsi="仿宋_GB2312" w:eastAsia="仿宋_GB2312" w:cs="仿宋_GB2312"/>
          <w:kern w:val="2"/>
          <w:sz w:val="32"/>
          <w:szCs w:val="32"/>
          <w:lang w:val="en-US" w:eastAsia="zh-CN"/>
        </w:rPr>
        <w:t>第二章</w:t>
      </w:r>
      <w:r>
        <w:rPr>
          <w:rFonts w:hint="eastAsia" w:ascii="仿宋_GB2312" w:hAnsi="仿宋_GB2312" w:eastAsia="仿宋_GB2312" w:cs="仿宋_GB2312"/>
          <w:kern w:val="2"/>
          <w:sz w:val="32"/>
          <w:szCs w:val="32"/>
        </w:rPr>
        <w:t>规范性引用文件</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rPr>
        <w:t>给出了</w:t>
      </w:r>
      <w:r>
        <w:rPr>
          <w:rFonts w:hint="eastAsia" w:ascii="仿宋_GB2312" w:hAnsi="仿宋_GB2312" w:eastAsia="仿宋_GB2312" w:cs="仿宋_GB2312"/>
          <w:kern w:val="2"/>
          <w:sz w:val="32"/>
          <w:szCs w:val="32"/>
          <w:lang w:val="en-US" w:eastAsia="zh-CN"/>
        </w:rPr>
        <w:t>本标准</w:t>
      </w:r>
      <w:r>
        <w:rPr>
          <w:rFonts w:hint="eastAsia" w:ascii="仿宋_GB2312" w:hAnsi="仿宋_GB2312" w:eastAsia="仿宋_GB2312" w:cs="仿宋_GB2312"/>
          <w:kern w:val="2"/>
          <w:sz w:val="32"/>
          <w:szCs w:val="32"/>
        </w:rPr>
        <w:t>应用所引用的标准或规范。</w:t>
      </w:r>
    </w:p>
    <w:p w14:paraId="62717AA4">
      <w:pPr>
        <w:pStyle w:val="28"/>
        <w:keepNext w:val="0"/>
        <w:keepLines w:val="0"/>
        <w:pageBreakBefore w:val="0"/>
        <w:widowControl w:val="0"/>
        <w:kinsoku/>
        <w:wordWrap/>
        <w:overflowPunct/>
        <w:topLinePunct w:val="0"/>
        <w:bidi w:val="0"/>
        <w:adjustRightInd/>
        <w:snapToGrid w:val="0"/>
        <w:spacing w:line="560" w:lineRule="exact"/>
        <w:ind w:firstLine="640"/>
        <w:jc w:val="left"/>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3.</w:t>
      </w:r>
      <w:r>
        <w:rPr>
          <w:rFonts w:hint="eastAsia" w:ascii="仿宋_GB2312" w:hAnsi="仿宋_GB2312" w:eastAsia="仿宋_GB2312" w:cs="仿宋_GB2312"/>
          <w:kern w:val="2"/>
          <w:sz w:val="32"/>
          <w:szCs w:val="32"/>
          <w:lang w:val="en-US" w:eastAsia="zh-CN"/>
        </w:rPr>
        <w:t>第三章</w:t>
      </w:r>
      <w:r>
        <w:rPr>
          <w:rFonts w:hint="eastAsia" w:ascii="仿宋_GB2312" w:hAnsi="仿宋_GB2312" w:eastAsia="仿宋_GB2312" w:cs="仿宋_GB2312"/>
          <w:kern w:val="2"/>
          <w:sz w:val="32"/>
          <w:szCs w:val="32"/>
        </w:rPr>
        <w:t>术语和定义</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color w:val="000000"/>
          <w:sz w:val="32"/>
          <w:szCs w:val="32"/>
        </w:rPr>
        <w:t>给出</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镇安象园茶</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等术语和</w:t>
      </w:r>
      <w:r>
        <w:rPr>
          <w:rFonts w:hint="eastAsia" w:ascii="仿宋_GB2312" w:hAnsi="仿宋_GB2312" w:eastAsia="仿宋_GB2312" w:cs="仿宋_GB2312"/>
          <w:color w:val="000000"/>
          <w:sz w:val="32"/>
          <w:szCs w:val="32"/>
        </w:rPr>
        <w:t>定义</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对其内涵进行了解释说明</w:t>
      </w:r>
      <w:r>
        <w:rPr>
          <w:rFonts w:hint="eastAsia" w:ascii="仿宋_GB2312" w:hAnsi="仿宋_GB2312" w:eastAsia="仿宋_GB2312" w:cs="仿宋_GB2312"/>
          <w:kern w:val="2"/>
          <w:sz w:val="32"/>
          <w:szCs w:val="32"/>
        </w:rPr>
        <w:t>。</w:t>
      </w:r>
    </w:p>
    <w:p w14:paraId="746C899B">
      <w:pPr>
        <w:keepNext w:val="0"/>
        <w:keepLines w:val="0"/>
        <w:pageBreakBefore w:val="0"/>
        <w:kinsoku/>
        <w:wordWrap/>
        <w:overflowPunct/>
        <w:topLinePunct w:val="0"/>
        <w:bidi w:val="0"/>
        <w:adjustRightInd/>
        <w:snapToGrid w:val="0"/>
        <w:spacing w:line="56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w:t>
      </w:r>
      <w:bookmarkStart w:id="6" w:name="_Toc10506"/>
      <w:r>
        <w:rPr>
          <w:rFonts w:hint="eastAsia" w:ascii="仿宋_GB2312" w:hAnsi="仿宋_GB2312" w:eastAsia="仿宋_GB2312" w:cs="仿宋_GB2312"/>
          <w:kern w:val="2"/>
          <w:sz w:val="32"/>
          <w:szCs w:val="32"/>
          <w:lang w:val="en-US" w:eastAsia="zh-CN" w:bidi="ar-SA"/>
        </w:rPr>
        <w:t>第四章地理标志产品使用范围</w:t>
      </w:r>
      <w:bookmarkEnd w:id="6"/>
      <w:r>
        <w:rPr>
          <w:rFonts w:hint="eastAsia" w:ascii="仿宋_GB2312" w:hAnsi="仿宋_GB2312" w:eastAsia="仿宋_GB2312" w:cs="仿宋_GB2312"/>
          <w:kern w:val="2"/>
          <w:sz w:val="32"/>
          <w:szCs w:val="32"/>
          <w:lang w:val="en-US" w:eastAsia="zh-CN" w:bidi="ar-SA"/>
        </w:rPr>
        <w:t>：给出了镇安象园茶地理标志产品使用范围。</w:t>
      </w:r>
    </w:p>
    <w:p w14:paraId="2D93B315">
      <w:pPr>
        <w:keepNext w:val="0"/>
        <w:keepLines w:val="0"/>
        <w:pageBreakBefore w:val="0"/>
        <w:kinsoku/>
        <w:wordWrap/>
        <w:overflowPunct/>
        <w:topLinePunct w:val="0"/>
        <w:bidi w:val="0"/>
        <w:adjustRightInd/>
        <w:snapToGrid w:val="0"/>
        <w:spacing w:line="56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5.第五章产品分类与等级：按加工工艺与原料嫩度，将镇安象园茶分为象园雾毫茶、象园毛尖茶、象园炒青茶、象园红茶四大类，并设定不同等级（雾毫茶分2级，其余分3–4级）</w:t>
      </w:r>
      <w:bookmarkStart w:id="7" w:name="_Toc28213"/>
      <w:bookmarkStart w:id="8" w:name="_Toc17374"/>
      <w:bookmarkStart w:id="9" w:name="_Toc10444569"/>
      <w:r>
        <w:rPr>
          <w:rFonts w:hint="eastAsia" w:ascii="仿宋_GB2312" w:hAnsi="仿宋_GB2312" w:eastAsia="仿宋_GB2312" w:cs="仿宋_GB2312"/>
          <w:kern w:val="2"/>
          <w:sz w:val="32"/>
          <w:szCs w:val="32"/>
          <w:lang w:val="en-US" w:eastAsia="zh-CN" w:bidi="ar-SA"/>
        </w:rPr>
        <w:t>。</w:t>
      </w:r>
    </w:p>
    <w:p w14:paraId="34BA6700">
      <w:pPr>
        <w:keepNext w:val="0"/>
        <w:keepLines w:val="0"/>
        <w:pageBreakBefore w:val="0"/>
        <w:kinsoku/>
        <w:wordWrap/>
        <w:overflowPunct/>
        <w:topLinePunct w:val="0"/>
        <w:bidi w:val="0"/>
        <w:adjustRightInd/>
        <w:snapToGrid w:val="0"/>
        <w:spacing w:line="560" w:lineRule="exact"/>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6.第六章原料及生产加工要求：给出各级别产品的鲜叶品质要求，鲜叶生产加工要求</w:t>
      </w:r>
      <w:bookmarkEnd w:id="7"/>
      <w:bookmarkEnd w:id="8"/>
      <w:bookmarkEnd w:id="9"/>
      <w:r>
        <w:rPr>
          <w:rFonts w:hint="eastAsia" w:ascii="仿宋_GB2312" w:hAnsi="仿宋_GB2312" w:eastAsia="仿宋_GB2312" w:cs="仿宋_GB2312"/>
          <w:sz w:val="32"/>
          <w:szCs w:val="32"/>
          <w:lang w:eastAsia="zh-CN"/>
        </w:rPr>
        <w:t>。</w:t>
      </w:r>
    </w:p>
    <w:p w14:paraId="39B98854">
      <w:pPr>
        <w:pStyle w:val="30"/>
        <w:keepNext w:val="0"/>
        <w:keepLines w:val="0"/>
        <w:pageBreakBefore w:val="0"/>
        <w:numPr>
          <w:ilvl w:val="0"/>
          <w:numId w:val="0"/>
        </w:numPr>
        <w:tabs>
          <w:tab w:val="left" w:pos="0"/>
        </w:tabs>
        <w:kinsoku/>
        <w:wordWrap/>
        <w:overflowPunct/>
        <w:topLinePunct w:val="0"/>
        <w:bidi w:val="0"/>
        <w:adjustRightInd/>
        <w:spacing w:before="0" w:beforeLines="0" w:after="0" w:afterLines="0" w:line="560" w:lineRule="exact"/>
        <w:ind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7.第七章质量：给出各级别镇安象园茶的外形、内质等感官品质和理化指标、污染物及农药最大残留限量、净含量等质量要求</w:t>
      </w:r>
    </w:p>
    <w:p w14:paraId="08DB9A37">
      <w:pPr>
        <w:keepNext w:val="0"/>
        <w:keepLines w:val="0"/>
        <w:pageBreakBefore w:val="0"/>
        <w:kinsoku/>
        <w:wordWrap/>
        <w:overflowPunct/>
        <w:topLinePunct w:val="0"/>
        <w:bidi w:val="0"/>
        <w:adjustRightInd/>
        <w:snapToGrid w:val="0"/>
        <w:spacing w:line="560" w:lineRule="exact"/>
        <w:ind w:firstLine="640" w:firstLineChars="200"/>
        <w:jc w:val="left"/>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8.第八章检验方法：给出第七章规定的</w:t>
      </w:r>
      <w:r>
        <w:rPr>
          <w:rFonts w:hint="eastAsia" w:ascii="仿宋_GB2312" w:hAnsi="仿宋_GB2312" w:eastAsia="仿宋_GB2312" w:cs="仿宋_GB2312"/>
          <w:sz w:val="32"/>
          <w:szCs w:val="32"/>
          <w:lang w:val="en-US" w:eastAsia="zh-CN"/>
        </w:rPr>
        <w:t>镇安象园茶</w:t>
      </w:r>
      <w:r>
        <w:rPr>
          <w:rFonts w:hint="eastAsia" w:ascii="仿宋_GB2312" w:hAnsi="仿宋_GB2312" w:eastAsia="仿宋_GB2312" w:cs="仿宋_GB2312"/>
          <w:kern w:val="0"/>
          <w:sz w:val="32"/>
          <w:szCs w:val="32"/>
          <w:lang w:val="en-US" w:eastAsia="zh-CN" w:bidi="ar-SA"/>
        </w:rPr>
        <w:t xml:space="preserve">各类指标的检验方法，除特殊要求外，主要参照相关国标及国家推荐标准。  </w:t>
      </w:r>
    </w:p>
    <w:p w14:paraId="1F433D03">
      <w:pPr>
        <w:keepNext w:val="0"/>
        <w:keepLines w:val="0"/>
        <w:pageBreakBefore w:val="0"/>
        <w:kinsoku/>
        <w:wordWrap/>
        <w:overflowPunct/>
        <w:topLinePunct w:val="0"/>
        <w:bidi w:val="0"/>
        <w:adjustRightInd/>
        <w:snapToGrid w:val="0"/>
        <w:spacing w:line="560" w:lineRule="exact"/>
        <w:ind w:firstLine="640" w:firstLineChars="200"/>
        <w:jc w:val="left"/>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第九章检验规则：给出</w:t>
      </w:r>
      <w:bookmarkStart w:id="10" w:name="OLE_LINK1"/>
      <w:r>
        <w:rPr>
          <w:rFonts w:hint="eastAsia" w:ascii="仿宋_GB2312" w:hAnsi="仿宋_GB2312" w:eastAsia="仿宋_GB2312" w:cs="仿宋_GB2312"/>
          <w:sz w:val="32"/>
          <w:szCs w:val="32"/>
          <w:lang w:val="en-US" w:eastAsia="zh-CN"/>
        </w:rPr>
        <w:t>镇安象园茶</w:t>
      </w:r>
      <w:bookmarkEnd w:id="10"/>
      <w:r>
        <w:rPr>
          <w:rFonts w:hint="eastAsia" w:ascii="仿宋_GB2312" w:hAnsi="仿宋_GB2312" w:eastAsia="仿宋_GB2312" w:cs="仿宋_GB2312"/>
          <w:sz w:val="32"/>
          <w:szCs w:val="32"/>
          <w:lang w:val="en-US" w:eastAsia="zh-CN"/>
        </w:rPr>
        <w:t>产品取样、样品制备、</w:t>
      </w:r>
    </w:p>
    <w:p w14:paraId="58ABFB2E">
      <w:pPr>
        <w:pStyle w:val="28"/>
        <w:keepNext w:val="0"/>
        <w:keepLines w:val="0"/>
        <w:pageBreakBefore w:val="0"/>
        <w:tabs>
          <w:tab w:val="center" w:pos="4201"/>
          <w:tab w:val="right" w:leader="dot" w:pos="9298"/>
        </w:tabs>
        <w:kinsoku/>
        <w:wordWrap/>
        <w:overflowPunct/>
        <w:topLinePunct w:val="0"/>
        <w:bidi w:val="0"/>
        <w:adjustRightInd/>
        <w:spacing w:line="560" w:lineRule="exact"/>
        <w:ind w:left="0" w:leftChars="0" w:firstLine="0" w:firstLine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检验、判定规则等检验规定的要求</w:t>
      </w:r>
      <w:r>
        <w:rPr>
          <w:rFonts w:hint="eastAsia" w:ascii="仿宋_GB2312" w:hAnsi="仿宋_GB2312" w:eastAsia="仿宋_GB2312" w:cs="仿宋_GB2312"/>
          <w:sz w:val="32"/>
          <w:szCs w:val="32"/>
        </w:rPr>
        <w:t>。</w:t>
      </w:r>
    </w:p>
    <w:p w14:paraId="06511903">
      <w:pPr>
        <w:pStyle w:val="32"/>
        <w:keepNext w:val="0"/>
        <w:keepLines w:val="0"/>
        <w:pageBreakBefore w:val="0"/>
        <w:numPr>
          <w:ilvl w:val="1"/>
          <w:numId w:val="0"/>
        </w:numPr>
        <w:kinsoku/>
        <w:wordWrap/>
        <w:overflowPunct/>
        <w:topLinePunct w:val="0"/>
        <w:bidi w:val="0"/>
        <w:adjustRightInd/>
        <w:spacing w:before="0" w:beforeLines="0" w:after="0" w:afterLines="0" w:line="560" w:lineRule="exact"/>
        <w:ind w:leftChars="0" w:firstLine="640" w:firstLineChars="200"/>
        <w:jc w:val="left"/>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10.第十章</w:t>
      </w:r>
      <w:bookmarkStart w:id="11" w:name="_Toc16267"/>
      <w:r>
        <w:rPr>
          <w:rFonts w:hint="eastAsia" w:ascii="仿宋_GB2312" w:hAnsi="仿宋_GB2312" w:eastAsia="仿宋_GB2312" w:cs="仿宋_GB2312"/>
          <w:kern w:val="0"/>
          <w:sz w:val="32"/>
          <w:szCs w:val="32"/>
          <w:lang w:val="en-US" w:eastAsia="zh-CN" w:bidi="ar-SA"/>
        </w:rPr>
        <w:t>标签标志、包装、运输、贮存</w:t>
      </w:r>
      <w:bookmarkEnd w:id="11"/>
      <w:r>
        <w:rPr>
          <w:rFonts w:hint="eastAsia" w:ascii="仿宋_GB2312" w:hAnsi="仿宋_GB2312" w:eastAsia="仿宋_GB2312" w:cs="仿宋_GB2312"/>
          <w:kern w:val="0"/>
          <w:sz w:val="32"/>
          <w:szCs w:val="32"/>
          <w:lang w:val="en-US" w:eastAsia="zh-CN" w:bidi="ar-SA"/>
        </w:rPr>
        <w:t>：给出</w:t>
      </w:r>
      <w:r>
        <w:rPr>
          <w:rFonts w:hint="eastAsia" w:ascii="仿宋_GB2312" w:hAnsi="仿宋_GB2312" w:eastAsia="仿宋_GB2312" w:cs="仿宋_GB2312"/>
          <w:sz w:val="32"/>
          <w:szCs w:val="32"/>
          <w:lang w:val="en-US" w:eastAsia="zh-CN"/>
        </w:rPr>
        <w:t>在镇安象园茶在标签标志使用、包装、运输、贮存等方面的技术要求和规定</w:t>
      </w:r>
      <w:r>
        <w:rPr>
          <w:rFonts w:hint="eastAsia" w:ascii="仿宋_GB2312" w:hAnsi="仿宋_GB2312" w:eastAsia="仿宋_GB2312" w:cs="仿宋_GB2312"/>
          <w:kern w:val="0"/>
          <w:sz w:val="32"/>
          <w:szCs w:val="32"/>
          <w:lang w:val="en-US" w:eastAsia="zh-CN" w:bidi="ar-SA"/>
        </w:rPr>
        <w:t>。</w:t>
      </w:r>
    </w:p>
    <w:p w14:paraId="6C9E910E">
      <w:pPr>
        <w:pStyle w:val="32"/>
        <w:keepNext w:val="0"/>
        <w:keepLines w:val="0"/>
        <w:pageBreakBefore w:val="0"/>
        <w:numPr>
          <w:ilvl w:val="1"/>
          <w:numId w:val="0"/>
        </w:numPr>
        <w:kinsoku/>
        <w:wordWrap/>
        <w:overflowPunct/>
        <w:topLinePunct w:val="0"/>
        <w:bidi w:val="0"/>
        <w:adjustRightInd/>
        <w:spacing w:before="0" w:beforeLines="0" w:after="0" w:afterLines="0" w:line="560" w:lineRule="exact"/>
        <w:ind w:leftChars="0" w:firstLine="640" w:firstLineChars="200"/>
        <w:jc w:val="left"/>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11、附录A 镇安象园茶地理标志产品使用范围图：给出“镇安象园茶”地理标志产品使用范围和各个镇（街道）的行政边界。</w:t>
      </w:r>
    </w:p>
    <w:p w14:paraId="3A4B9B50">
      <w:pPr>
        <w:keepNext w:val="0"/>
        <w:keepLines w:val="0"/>
        <w:pageBreakBefore w:val="0"/>
        <w:wordWrap/>
        <w:bidi w:val="0"/>
        <w:snapToGrid w:val="0"/>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（三）主要依据</w:t>
      </w:r>
    </w:p>
    <w:p w14:paraId="3ABA2141">
      <w:pPr>
        <w:pStyle w:val="28"/>
        <w:keepNext w:val="0"/>
        <w:keepLines w:val="0"/>
        <w:pageBreakBefore w:val="0"/>
        <w:widowControl/>
        <w:kinsoku/>
        <w:wordWrap/>
        <w:overflowPunct/>
        <w:topLinePunct w:val="0"/>
        <w:autoSpaceDE w:val="0"/>
        <w:autoSpaceDN w:val="0"/>
        <w:bidi w:val="0"/>
        <w:adjustRightInd/>
        <w:snapToGrid w:val="0"/>
        <w:spacing w:line="560" w:lineRule="exact"/>
        <w:ind w:firstLine="640"/>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本标准制定时，主要依据和参考了以下规范性文件和资料：</w:t>
      </w:r>
    </w:p>
    <w:p w14:paraId="14B07952">
      <w:pPr>
        <w:pStyle w:val="28"/>
        <w:keepNext w:val="0"/>
        <w:keepLines w:val="0"/>
        <w:pageBreakBefore w:val="0"/>
        <w:widowControl/>
        <w:kinsoku/>
        <w:wordWrap/>
        <w:overflowPunct/>
        <w:topLinePunct w:val="0"/>
        <w:autoSpaceDE w:val="0"/>
        <w:autoSpaceDN w:val="0"/>
        <w:bidi w:val="0"/>
        <w:adjustRightInd/>
        <w:snapToGrid w:val="0"/>
        <w:spacing w:line="560" w:lineRule="exact"/>
        <w:ind w:firstLine="640"/>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1.《中华人民共和国商标法实施条例》（自2014年5月1日起施行）</w:t>
      </w:r>
    </w:p>
    <w:p w14:paraId="7F2042E4">
      <w:pPr>
        <w:pStyle w:val="28"/>
        <w:keepNext w:val="0"/>
        <w:keepLines w:val="0"/>
        <w:pageBreakBefore w:val="0"/>
        <w:widowControl/>
        <w:kinsoku/>
        <w:wordWrap/>
        <w:overflowPunct/>
        <w:topLinePunct w:val="0"/>
        <w:autoSpaceDE w:val="0"/>
        <w:autoSpaceDN w:val="0"/>
        <w:bidi w:val="0"/>
        <w:adjustRightInd/>
        <w:snapToGrid w:val="0"/>
        <w:spacing w:line="560" w:lineRule="exact"/>
        <w:ind w:firstLine="640"/>
        <w:textAlignment w:val="auto"/>
        <w:rPr>
          <w:rFonts w:hint="eastAsia" w:ascii="仿宋_GB2312" w:hAnsi="仿宋_GB2312" w:eastAsia="仿宋_GB2312" w:cs="仿宋_GB2312"/>
          <w:spacing w:val="-11"/>
          <w:kern w:val="2"/>
          <w:sz w:val="32"/>
          <w:szCs w:val="32"/>
          <w:lang w:val="en-US" w:eastAsia="zh-CN"/>
        </w:rPr>
      </w:pPr>
      <w:r>
        <w:rPr>
          <w:rFonts w:hint="eastAsia" w:ascii="仿宋_GB2312" w:hAnsi="仿宋_GB2312" w:eastAsia="仿宋_GB2312" w:cs="仿宋_GB2312"/>
          <w:spacing w:val="-11"/>
          <w:kern w:val="2"/>
          <w:sz w:val="32"/>
          <w:szCs w:val="32"/>
          <w:lang w:val="en-US" w:eastAsia="zh-CN"/>
        </w:rPr>
        <w:t>2.《地方标准管理办法》（国家市场监督管理总局令第26号）</w:t>
      </w:r>
    </w:p>
    <w:p w14:paraId="44FB4CC9">
      <w:pPr>
        <w:pStyle w:val="28"/>
        <w:keepNext w:val="0"/>
        <w:keepLines w:val="0"/>
        <w:pageBreakBefore w:val="0"/>
        <w:widowControl/>
        <w:kinsoku/>
        <w:wordWrap/>
        <w:overflowPunct/>
        <w:topLinePunct w:val="0"/>
        <w:autoSpaceDE w:val="0"/>
        <w:autoSpaceDN w:val="0"/>
        <w:bidi w:val="0"/>
        <w:adjustRightInd/>
        <w:snapToGrid w:val="0"/>
        <w:spacing w:line="560" w:lineRule="exact"/>
        <w:ind w:firstLine="640"/>
        <w:textAlignment w:val="auto"/>
        <w:rPr>
          <w:rFonts w:hint="eastAsia" w:ascii="仿宋_GB2312" w:hAnsi="仿宋_GB2312" w:eastAsia="仿宋_GB2312" w:cs="仿宋_GB2312"/>
          <w:spacing w:val="-11"/>
          <w:kern w:val="2"/>
          <w:sz w:val="32"/>
          <w:szCs w:val="32"/>
          <w:lang w:val="en-US" w:eastAsia="zh-CN"/>
        </w:rPr>
      </w:pPr>
      <w:r>
        <w:rPr>
          <w:rFonts w:hint="eastAsia" w:ascii="仿宋_GB2312" w:hAnsi="仿宋_GB2312" w:eastAsia="仿宋_GB2312" w:cs="仿宋_GB2312"/>
          <w:spacing w:val="-11"/>
          <w:kern w:val="2"/>
          <w:sz w:val="32"/>
          <w:szCs w:val="32"/>
          <w:lang w:val="en-US" w:eastAsia="zh-CN"/>
        </w:rPr>
        <w:t>3.《关于茶产业高质量发展的意见》（陕政办发〔2023〕13号）</w:t>
      </w:r>
    </w:p>
    <w:p w14:paraId="06ED8545">
      <w:pPr>
        <w:pStyle w:val="28"/>
        <w:keepNext w:val="0"/>
        <w:keepLines w:val="0"/>
        <w:pageBreakBefore w:val="0"/>
        <w:widowControl/>
        <w:kinsoku/>
        <w:wordWrap/>
        <w:overflowPunct/>
        <w:topLinePunct w:val="0"/>
        <w:autoSpaceDE w:val="0"/>
        <w:autoSpaceDN w:val="0"/>
        <w:bidi w:val="0"/>
        <w:adjustRightInd/>
        <w:snapToGrid w:val="0"/>
        <w:spacing w:line="560" w:lineRule="exact"/>
        <w:ind w:firstLine="640"/>
        <w:textAlignment w:val="auto"/>
        <w:rPr>
          <w:rFonts w:hint="eastAsia" w:ascii="仿宋_GB2312" w:hAnsi="仿宋_GB2312" w:eastAsia="仿宋_GB2312" w:cs="仿宋_GB2312"/>
          <w:color w:val="FF0000"/>
          <w:kern w:val="2"/>
          <w:sz w:val="32"/>
          <w:szCs w:val="32"/>
          <w:lang w:val="en-US" w:eastAsia="zh-CN"/>
        </w:rPr>
      </w:pPr>
      <w:r>
        <w:rPr>
          <w:rFonts w:hint="eastAsia" w:ascii="仿宋_GB2312" w:hAnsi="仿宋_GB2312" w:eastAsia="仿宋_GB2312" w:cs="仿宋_GB2312"/>
          <w:kern w:val="2"/>
          <w:sz w:val="32"/>
          <w:szCs w:val="32"/>
          <w:lang w:val="en-US" w:eastAsia="zh-CN"/>
        </w:rPr>
        <w:t>4.《“镇安象园茶”地理标志产品质量要求使用管理办法》（镇</w:t>
      </w:r>
      <w:r>
        <w:rPr>
          <w:rFonts w:hint="eastAsia" w:ascii="仿宋_GB2312" w:hAnsi="仿宋_GB2312" w:eastAsia="仿宋_GB2312" w:cs="仿宋_GB2312"/>
          <w:kern w:val="2"/>
          <w:sz w:val="32"/>
          <w:szCs w:val="32"/>
          <w:lang w:val="en-US" w:eastAsia="zh-CN" w:bidi="ar-SA"/>
        </w:rPr>
        <w:t>政办发</w:t>
      </w:r>
      <w:r>
        <w:rPr>
          <w:rFonts w:hint="eastAsia" w:ascii="仿宋_GB2312" w:hAnsi="仿宋_GB2312" w:eastAsia="仿宋_GB2312" w:cs="仿宋_GB2312"/>
          <w:kern w:val="2"/>
          <w:sz w:val="32"/>
          <w:szCs w:val="32"/>
          <w:lang w:val="en-US" w:eastAsia="zh-CN"/>
        </w:rPr>
        <w:t>〔</w:t>
      </w:r>
      <w:r>
        <w:rPr>
          <w:rFonts w:hint="eastAsia" w:ascii="仿宋_GB2312" w:hAnsi="仿宋_GB2312" w:eastAsia="仿宋_GB2312" w:cs="仿宋_GB2312"/>
          <w:kern w:val="2"/>
          <w:sz w:val="32"/>
          <w:szCs w:val="32"/>
          <w:lang w:val="en-US" w:eastAsia="zh-CN" w:bidi="ar-SA"/>
        </w:rPr>
        <w:t>2024</w:t>
      </w:r>
      <w:r>
        <w:rPr>
          <w:rFonts w:hint="eastAsia" w:ascii="仿宋_GB2312" w:hAnsi="仿宋_GB2312" w:eastAsia="仿宋_GB2312" w:cs="仿宋_GB2312"/>
          <w:kern w:val="2"/>
          <w:sz w:val="32"/>
          <w:szCs w:val="32"/>
          <w:lang w:val="en-US" w:eastAsia="zh-CN"/>
        </w:rPr>
        <w:t>〕</w:t>
      </w:r>
      <w:r>
        <w:rPr>
          <w:rFonts w:hint="eastAsia" w:ascii="仿宋_GB2312" w:hAnsi="仿宋_GB2312" w:eastAsia="仿宋_GB2312" w:cs="仿宋_GB2312"/>
          <w:kern w:val="2"/>
          <w:sz w:val="32"/>
          <w:szCs w:val="32"/>
          <w:lang w:val="en-US" w:eastAsia="zh-CN" w:bidi="ar-SA"/>
        </w:rPr>
        <w:t>21号）</w:t>
      </w:r>
    </w:p>
    <w:p w14:paraId="083AE544">
      <w:pPr>
        <w:pStyle w:val="28"/>
        <w:keepNext w:val="0"/>
        <w:keepLines w:val="0"/>
        <w:pageBreakBefore w:val="0"/>
        <w:widowControl/>
        <w:kinsoku/>
        <w:wordWrap/>
        <w:overflowPunct/>
        <w:topLinePunct w:val="0"/>
        <w:autoSpaceDE w:val="0"/>
        <w:autoSpaceDN w:val="0"/>
        <w:bidi w:val="0"/>
        <w:adjustRightInd/>
        <w:snapToGrid w:val="0"/>
        <w:spacing w:line="560" w:lineRule="exact"/>
        <w:ind w:firstLine="640"/>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5.《镇安县市场监督管理局关于规范使用地理标志及有机产品相关标识的通知》（镇市监发〔2024〕41号）</w:t>
      </w:r>
    </w:p>
    <w:p w14:paraId="1FF467E9">
      <w:pPr>
        <w:pStyle w:val="28"/>
        <w:keepNext w:val="0"/>
        <w:keepLines w:val="0"/>
        <w:pageBreakBefore w:val="0"/>
        <w:widowControl/>
        <w:kinsoku/>
        <w:wordWrap/>
        <w:overflowPunct/>
        <w:topLinePunct w:val="0"/>
        <w:autoSpaceDE w:val="0"/>
        <w:autoSpaceDN w:val="0"/>
        <w:bidi w:val="0"/>
        <w:adjustRightInd/>
        <w:snapToGrid w:val="0"/>
        <w:spacing w:line="560" w:lineRule="exact"/>
        <w:ind w:firstLine="640"/>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6.《定量包装商品计量监督管理办法》（市场监管总局令〔2023〕第70号）</w:t>
      </w:r>
    </w:p>
    <w:p w14:paraId="502B4268">
      <w:pPr>
        <w:pStyle w:val="28"/>
        <w:keepNext w:val="0"/>
        <w:keepLines w:val="0"/>
        <w:pageBreakBefore w:val="0"/>
        <w:widowControl/>
        <w:kinsoku/>
        <w:wordWrap/>
        <w:overflowPunct/>
        <w:topLinePunct w:val="0"/>
        <w:autoSpaceDE w:val="0"/>
        <w:autoSpaceDN w:val="0"/>
        <w:bidi w:val="0"/>
        <w:adjustRightInd/>
        <w:snapToGrid w:val="0"/>
        <w:spacing w:line="560" w:lineRule="exact"/>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7.《国家质量监督检验检疫总局关于修改&lt;食品标识管理规定&gt;的决定》（国家质量监督检验检疫总局令〔2009〕第123号）</w:t>
      </w:r>
    </w:p>
    <w:p w14:paraId="6E89F918">
      <w:pPr>
        <w:pStyle w:val="28"/>
        <w:keepNext w:val="0"/>
        <w:keepLines w:val="0"/>
        <w:pageBreakBefore w:val="0"/>
        <w:widowControl/>
        <w:kinsoku/>
        <w:wordWrap/>
        <w:overflowPunct/>
        <w:topLinePunct w:val="0"/>
        <w:autoSpaceDE w:val="0"/>
        <w:autoSpaceDN w:val="0"/>
        <w:bidi w:val="0"/>
        <w:adjustRightInd/>
        <w:snapToGrid w:val="0"/>
        <w:spacing w:line="560" w:lineRule="exact"/>
        <w:ind w:firstLine="640"/>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8.GB/T 1.1—2020 标准化工作导则 第1部分：标准化文件的结构和起草规则</w:t>
      </w:r>
    </w:p>
    <w:p w14:paraId="569FEEBE">
      <w:pPr>
        <w:pStyle w:val="28"/>
        <w:keepNext w:val="0"/>
        <w:keepLines w:val="0"/>
        <w:pageBreakBefore w:val="0"/>
        <w:widowControl/>
        <w:kinsoku/>
        <w:wordWrap/>
        <w:overflowPunct/>
        <w:topLinePunct w:val="0"/>
        <w:autoSpaceDE w:val="0"/>
        <w:autoSpaceDN w:val="0"/>
        <w:bidi w:val="0"/>
        <w:adjustRightInd/>
        <w:snapToGrid w:val="0"/>
        <w:spacing w:line="560" w:lineRule="exact"/>
        <w:ind w:firstLine="640"/>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9.GB 7718 食品安全国家标准 预包装食品标签通则</w:t>
      </w:r>
    </w:p>
    <w:p w14:paraId="6E8DD7CA">
      <w:pPr>
        <w:pStyle w:val="28"/>
        <w:keepNext w:val="0"/>
        <w:keepLines w:val="0"/>
        <w:pageBreakBefore w:val="0"/>
        <w:widowControl/>
        <w:kinsoku/>
        <w:wordWrap/>
        <w:overflowPunct/>
        <w:topLinePunct w:val="0"/>
        <w:autoSpaceDE w:val="0"/>
        <w:autoSpaceDN w:val="0"/>
        <w:bidi w:val="0"/>
        <w:adjustRightInd/>
        <w:snapToGrid w:val="0"/>
        <w:spacing w:line="560" w:lineRule="exact"/>
        <w:ind w:firstLine="640"/>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10.GB 23350 限制商品过度包装要求 食品和化妆品</w:t>
      </w:r>
    </w:p>
    <w:p w14:paraId="1EEE7C01">
      <w:pPr>
        <w:pStyle w:val="28"/>
        <w:keepNext w:val="0"/>
        <w:keepLines w:val="0"/>
        <w:pageBreakBefore w:val="0"/>
        <w:widowControl/>
        <w:kinsoku/>
        <w:wordWrap/>
        <w:overflowPunct/>
        <w:topLinePunct w:val="0"/>
        <w:autoSpaceDE w:val="0"/>
        <w:autoSpaceDN w:val="0"/>
        <w:bidi w:val="0"/>
        <w:adjustRightInd/>
        <w:snapToGrid w:val="0"/>
        <w:spacing w:line="560" w:lineRule="exact"/>
        <w:ind w:firstLine="640"/>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11.GB/T 40633 茶叶加工术语</w:t>
      </w:r>
    </w:p>
    <w:p w14:paraId="5D78BB8A">
      <w:pPr>
        <w:pStyle w:val="28"/>
        <w:keepNext w:val="0"/>
        <w:keepLines w:val="0"/>
        <w:pageBreakBefore w:val="0"/>
        <w:widowControl/>
        <w:kinsoku/>
        <w:wordWrap/>
        <w:overflowPunct/>
        <w:topLinePunct w:val="0"/>
        <w:autoSpaceDE w:val="0"/>
        <w:autoSpaceDN w:val="0"/>
        <w:bidi w:val="0"/>
        <w:adjustRightInd/>
        <w:snapToGrid w:val="0"/>
        <w:spacing w:line="560" w:lineRule="exact"/>
        <w:ind w:firstLine="640"/>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12.GB/T 23776 茶叶感官审评方法</w:t>
      </w:r>
    </w:p>
    <w:p w14:paraId="56D1345B">
      <w:pPr>
        <w:pStyle w:val="28"/>
        <w:keepNext w:val="0"/>
        <w:keepLines w:val="0"/>
        <w:pageBreakBefore w:val="0"/>
        <w:widowControl/>
        <w:numPr>
          <w:ilvl w:val="0"/>
          <w:numId w:val="0"/>
        </w:numPr>
        <w:kinsoku/>
        <w:wordWrap/>
        <w:overflowPunct/>
        <w:topLinePunct w:val="0"/>
        <w:autoSpaceDE w:val="0"/>
        <w:autoSpaceDN w:val="0"/>
        <w:bidi w:val="0"/>
        <w:adjustRightInd/>
        <w:snapToGrid w:val="0"/>
        <w:spacing w:line="560" w:lineRule="exact"/>
        <w:ind w:firstLine="640" w:firstLineChars="200"/>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13.B/T 32744 茶叶加工良好规范</w:t>
      </w:r>
    </w:p>
    <w:p w14:paraId="28905CD4">
      <w:pPr>
        <w:pStyle w:val="28"/>
        <w:keepNext w:val="0"/>
        <w:keepLines w:val="0"/>
        <w:pageBreakBefore w:val="0"/>
        <w:widowControl/>
        <w:numPr>
          <w:ilvl w:val="0"/>
          <w:numId w:val="0"/>
        </w:numPr>
        <w:kinsoku/>
        <w:wordWrap/>
        <w:overflowPunct/>
        <w:topLinePunct w:val="0"/>
        <w:autoSpaceDE w:val="0"/>
        <w:autoSpaceDN w:val="0"/>
        <w:bidi w:val="0"/>
        <w:adjustRightInd/>
        <w:snapToGrid w:val="0"/>
        <w:spacing w:line="560" w:lineRule="exact"/>
        <w:ind w:firstLine="640" w:firstLineChars="200"/>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14.GB/T 30375 茶叶贮存</w:t>
      </w:r>
    </w:p>
    <w:p w14:paraId="3066E69D">
      <w:pPr>
        <w:pStyle w:val="28"/>
        <w:keepNext w:val="0"/>
        <w:keepLines w:val="0"/>
        <w:pageBreakBefore w:val="0"/>
        <w:widowControl/>
        <w:numPr>
          <w:ilvl w:val="0"/>
          <w:numId w:val="0"/>
        </w:numPr>
        <w:kinsoku/>
        <w:wordWrap/>
        <w:overflowPunct/>
        <w:topLinePunct w:val="0"/>
        <w:autoSpaceDE w:val="0"/>
        <w:autoSpaceDN w:val="0"/>
        <w:bidi w:val="0"/>
        <w:adjustRightInd/>
        <w:snapToGrid w:val="0"/>
        <w:spacing w:line="560" w:lineRule="exact"/>
        <w:ind w:firstLine="640" w:firstLineChars="200"/>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15.GB/T 14487 茶叶感官审评术语</w:t>
      </w:r>
    </w:p>
    <w:p w14:paraId="289209A4">
      <w:pPr>
        <w:pStyle w:val="28"/>
        <w:keepNext w:val="0"/>
        <w:keepLines w:val="0"/>
        <w:pageBreakBefore w:val="0"/>
        <w:widowControl/>
        <w:kinsoku/>
        <w:wordWrap/>
        <w:overflowPunct/>
        <w:topLinePunct w:val="0"/>
        <w:autoSpaceDE w:val="0"/>
        <w:autoSpaceDN w:val="0"/>
        <w:bidi w:val="0"/>
        <w:adjustRightInd/>
        <w:snapToGrid w:val="0"/>
        <w:spacing w:line="560" w:lineRule="exact"/>
        <w:ind w:firstLine="640"/>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16.GB/T 39563 台式乌龙茶</w:t>
      </w:r>
    </w:p>
    <w:p w14:paraId="0D559CD1">
      <w:pPr>
        <w:pStyle w:val="28"/>
        <w:keepNext w:val="0"/>
        <w:keepLines w:val="0"/>
        <w:pageBreakBefore w:val="0"/>
        <w:widowControl/>
        <w:numPr>
          <w:ilvl w:val="0"/>
          <w:numId w:val="0"/>
        </w:numPr>
        <w:kinsoku/>
        <w:wordWrap/>
        <w:overflowPunct/>
        <w:topLinePunct w:val="0"/>
        <w:autoSpaceDE w:val="0"/>
        <w:autoSpaceDN w:val="0"/>
        <w:bidi w:val="0"/>
        <w:adjustRightInd/>
        <w:snapToGrid w:val="0"/>
        <w:spacing w:line="560" w:lineRule="exact"/>
        <w:ind w:firstLine="640" w:firstLineChars="200"/>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17.地理标志产品保护办法（国家知识产权局令第80号）</w:t>
      </w:r>
    </w:p>
    <w:p w14:paraId="2BDDE26F">
      <w:pPr>
        <w:pStyle w:val="28"/>
        <w:keepNext w:val="0"/>
        <w:keepLines w:val="0"/>
        <w:pageBreakBefore w:val="0"/>
        <w:widowControl/>
        <w:numPr>
          <w:ilvl w:val="0"/>
          <w:numId w:val="0"/>
        </w:numPr>
        <w:kinsoku/>
        <w:wordWrap/>
        <w:overflowPunct/>
        <w:topLinePunct w:val="0"/>
        <w:autoSpaceDE w:val="0"/>
        <w:autoSpaceDN w:val="0"/>
        <w:bidi w:val="0"/>
        <w:adjustRightInd/>
        <w:snapToGrid w:val="0"/>
        <w:spacing w:line="560" w:lineRule="exact"/>
        <w:ind w:firstLine="640" w:firstLineChars="200"/>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18.国家知识产权局2025年9月25日第646号公告</w:t>
      </w:r>
    </w:p>
    <w:p w14:paraId="6E605F2D">
      <w:pPr>
        <w:pStyle w:val="16"/>
        <w:keepNext w:val="0"/>
        <w:keepLines w:val="0"/>
        <w:pageBreakBefore w:val="0"/>
        <w:numPr>
          <w:ilvl w:val="0"/>
          <w:numId w:val="0"/>
        </w:numPr>
        <w:wordWrap/>
        <w:bidi w:val="0"/>
        <w:snapToGrid w:val="0"/>
        <w:spacing w:before="0" w:after="0" w:line="560" w:lineRule="exact"/>
        <w:ind w:firstLine="640" w:firstLineChars="200"/>
        <w:jc w:val="both"/>
        <w:rPr>
          <w:rFonts w:hint="eastAsia" w:ascii="黑体" w:hAnsi="黑体" w:eastAsia="黑体" w:cs="黑体"/>
          <w:b w:val="0"/>
          <w:bCs w:val="0"/>
          <w:sz w:val="32"/>
          <w:szCs w:val="32"/>
          <w:lang w:val="en-US" w:eastAsia="zh-CN"/>
        </w:rPr>
      </w:pPr>
      <w:bookmarkStart w:id="12" w:name="_Toc794"/>
      <w:r>
        <w:rPr>
          <w:rFonts w:hint="eastAsia" w:ascii="黑体" w:hAnsi="黑体" w:eastAsia="黑体" w:cs="黑体"/>
          <w:b w:val="0"/>
          <w:bCs w:val="0"/>
          <w:sz w:val="32"/>
          <w:szCs w:val="32"/>
          <w:lang w:val="en-US" w:eastAsia="zh-CN"/>
        </w:rPr>
        <w:t>四、后续主要工作</w:t>
      </w:r>
    </w:p>
    <w:p w14:paraId="75A8CB41">
      <w:pPr>
        <w:keepNext w:val="0"/>
        <w:keepLines w:val="0"/>
        <w:pageBreakBefore w:val="0"/>
        <w:numPr>
          <w:ilvl w:val="0"/>
          <w:numId w:val="0"/>
        </w:numPr>
        <w:wordWrap/>
        <w:bidi w:val="0"/>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标准编制单位将向省市场监管局报送标准征求意见材料，并通过省级标准化行政主管部门门户网站向社会公示,公开征求意见。同时期起草组还采用函件、会议和网络等方式面向全省相关方面开展意见征询。起草组随后将召开意见讨论会，对意见逐一分析研判，并根据研判结果修改形成的地方标准送审材料。</w:t>
      </w:r>
    </w:p>
    <w:p w14:paraId="18848598">
      <w:pPr>
        <w:pStyle w:val="16"/>
        <w:keepNext w:val="0"/>
        <w:keepLines w:val="0"/>
        <w:pageBreakBefore w:val="0"/>
        <w:wordWrap/>
        <w:bidi w:val="0"/>
        <w:snapToGrid w:val="0"/>
        <w:spacing w:before="0" w:after="0" w:line="560" w:lineRule="exact"/>
        <w:ind w:firstLine="640" w:firstLineChars="200"/>
        <w:jc w:val="both"/>
        <w:rPr>
          <w:rFonts w:hint="eastAsia" w:ascii="黑体" w:hAnsi="黑体" w:eastAsia="黑体" w:cs="黑体"/>
          <w:b w:val="0"/>
          <w:bCs w:val="0"/>
          <w:lang w:eastAsia="zh-CN"/>
        </w:rPr>
      </w:pPr>
      <w:r>
        <w:rPr>
          <w:rFonts w:hint="eastAsia" w:ascii="黑体" w:hAnsi="黑体" w:eastAsia="黑体" w:cs="黑体"/>
          <w:b w:val="0"/>
          <w:bCs w:val="0"/>
          <w:lang w:val="en-US" w:eastAsia="zh-CN"/>
        </w:rPr>
        <w:t>五</w:t>
      </w:r>
      <w:r>
        <w:rPr>
          <w:rFonts w:hint="eastAsia" w:ascii="黑体" w:hAnsi="黑体" w:eastAsia="黑体" w:cs="黑体"/>
          <w:b w:val="0"/>
          <w:bCs w:val="0"/>
        </w:rPr>
        <w:t>、</w:t>
      </w:r>
      <w:bookmarkEnd w:id="12"/>
      <w:r>
        <w:rPr>
          <w:rFonts w:hint="eastAsia" w:ascii="黑体" w:hAnsi="黑体" w:eastAsia="黑体" w:cs="黑体"/>
          <w:b w:val="0"/>
          <w:bCs w:val="0"/>
          <w:lang w:val="en-US" w:eastAsia="zh-CN"/>
        </w:rPr>
        <w:t>采标情况</w:t>
      </w:r>
    </w:p>
    <w:p w14:paraId="1AFA704C">
      <w:pPr>
        <w:pStyle w:val="28"/>
        <w:keepNext w:val="0"/>
        <w:keepLines w:val="0"/>
        <w:pageBreakBefore w:val="0"/>
        <w:wordWrap/>
        <w:bidi w:val="0"/>
        <w:snapToGrid w:val="0"/>
        <w:spacing w:line="560" w:lineRule="exact"/>
        <w:ind w:firstLine="64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本标准</w:t>
      </w:r>
      <w:r>
        <w:rPr>
          <w:rFonts w:hint="eastAsia" w:ascii="仿宋_GB2312" w:hAnsi="仿宋_GB2312" w:eastAsia="仿宋_GB2312" w:cs="仿宋_GB2312"/>
          <w:kern w:val="2"/>
          <w:sz w:val="32"/>
          <w:szCs w:val="32"/>
          <w:lang w:val="en-US" w:eastAsia="zh-CN"/>
        </w:rPr>
        <w:t>无采标</w:t>
      </w:r>
      <w:r>
        <w:rPr>
          <w:rFonts w:hint="eastAsia" w:ascii="仿宋_GB2312" w:hAnsi="仿宋_GB2312" w:eastAsia="仿宋_GB2312" w:cs="仿宋_GB2312"/>
          <w:kern w:val="2"/>
          <w:sz w:val="32"/>
          <w:szCs w:val="32"/>
        </w:rPr>
        <w:t>。</w:t>
      </w:r>
    </w:p>
    <w:p w14:paraId="66E828B0">
      <w:pPr>
        <w:pStyle w:val="16"/>
        <w:keepNext w:val="0"/>
        <w:keepLines w:val="0"/>
        <w:pageBreakBefore w:val="0"/>
        <w:wordWrap/>
        <w:bidi w:val="0"/>
        <w:snapToGrid w:val="0"/>
        <w:spacing w:before="0" w:after="0" w:line="560" w:lineRule="exact"/>
        <w:ind w:firstLine="640" w:firstLineChars="200"/>
        <w:jc w:val="both"/>
        <w:rPr>
          <w:rFonts w:hint="eastAsia" w:ascii="黑体" w:hAnsi="黑体" w:eastAsia="黑体" w:cs="黑体"/>
          <w:b w:val="0"/>
          <w:bCs w:val="0"/>
        </w:rPr>
      </w:pPr>
      <w:bookmarkStart w:id="13" w:name="_Toc7093"/>
      <w:r>
        <w:rPr>
          <w:rFonts w:hint="eastAsia" w:ascii="黑体" w:hAnsi="黑体" w:eastAsia="黑体" w:cs="黑体"/>
          <w:b w:val="0"/>
          <w:bCs w:val="0"/>
          <w:lang w:val="en-US" w:eastAsia="zh-CN"/>
        </w:rPr>
        <w:t>六</w:t>
      </w:r>
      <w:r>
        <w:rPr>
          <w:rFonts w:hint="eastAsia" w:ascii="黑体" w:hAnsi="黑体" w:eastAsia="黑体" w:cs="黑体"/>
          <w:b w:val="0"/>
          <w:bCs w:val="0"/>
        </w:rPr>
        <w:t>、重大分歧意见的处理经过和依据</w:t>
      </w:r>
      <w:bookmarkEnd w:id="13"/>
    </w:p>
    <w:p w14:paraId="0CEC24FC">
      <w:pPr>
        <w:pStyle w:val="28"/>
        <w:keepNext w:val="0"/>
        <w:keepLines w:val="0"/>
        <w:pageBreakBefore w:val="0"/>
        <w:wordWrap/>
        <w:bidi w:val="0"/>
        <w:snapToGrid w:val="0"/>
        <w:spacing w:line="560" w:lineRule="exact"/>
        <w:ind w:firstLine="640"/>
        <w:rPr>
          <w:rFonts w:hint="eastAsia" w:ascii="宋体" w:hAnsi="宋体" w:eastAsia="宋体" w:cs="宋体"/>
          <w:kern w:val="2"/>
          <w:sz w:val="28"/>
          <w:szCs w:val="28"/>
        </w:rPr>
      </w:pPr>
      <w:r>
        <w:rPr>
          <w:rFonts w:hint="eastAsia" w:ascii="仿宋_GB2312" w:hAnsi="仿宋_GB2312" w:eastAsia="仿宋_GB2312" w:cs="仿宋_GB2312"/>
          <w:kern w:val="2"/>
          <w:sz w:val="32"/>
          <w:szCs w:val="32"/>
        </w:rPr>
        <w:t>本标准在制定过程中未出现重大分歧意见，没有需要说明的重要技术问题。</w:t>
      </w:r>
      <w:bookmarkStart w:id="14" w:name="_Toc15712"/>
    </w:p>
    <w:p w14:paraId="70828FDF">
      <w:pPr>
        <w:pStyle w:val="16"/>
        <w:keepNext w:val="0"/>
        <w:keepLines w:val="0"/>
        <w:pageBreakBefore w:val="0"/>
        <w:wordWrap/>
        <w:bidi w:val="0"/>
        <w:snapToGrid w:val="0"/>
        <w:spacing w:before="0" w:after="0" w:line="560" w:lineRule="exact"/>
        <w:ind w:firstLine="640" w:firstLineChars="200"/>
        <w:jc w:val="both"/>
        <w:rPr>
          <w:rFonts w:hint="eastAsia" w:ascii="黑体" w:hAnsi="黑体" w:eastAsia="黑体" w:cs="黑体"/>
          <w:b w:val="0"/>
          <w:bCs w:val="0"/>
        </w:rPr>
      </w:pPr>
      <w:r>
        <w:rPr>
          <w:rFonts w:hint="eastAsia" w:ascii="黑体" w:hAnsi="黑体" w:eastAsia="黑体" w:cs="黑体"/>
          <w:b w:val="0"/>
          <w:bCs w:val="0"/>
          <w:lang w:val="en-US" w:eastAsia="zh-CN"/>
        </w:rPr>
        <w:t>七</w:t>
      </w:r>
      <w:r>
        <w:rPr>
          <w:rFonts w:hint="eastAsia" w:ascii="黑体" w:hAnsi="黑体" w:eastAsia="黑体" w:cs="黑体"/>
          <w:b w:val="0"/>
          <w:bCs w:val="0"/>
        </w:rPr>
        <w:t>、涉及专利的有关说明</w:t>
      </w:r>
      <w:bookmarkEnd w:id="14"/>
    </w:p>
    <w:p w14:paraId="101E0E94">
      <w:pPr>
        <w:keepNext w:val="0"/>
        <w:keepLines w:val="0"/>
        <w:pageBreakBefore w:val="0"/>
        <w:tabs>
          <w:tab w:val="left" w:pos="360"/>
        </w:tabs>
        <w:kinsoku w:val="0"/>
        <w:wordWrap/>
        <w:overflowPunct w:val="0"/>
        <w:autoSpaceDE w:val="0"/>
        <w:autoSpaceDN w:val="0"/>
        <w:bidi w:val="0"/>
        <w:spacing w:line="560" w:lineRule="exact"/>
        <w:ind w:firstLine="640" w:firstLineChars="200"/>
        <w:rPr>
          <w:rFonts w:hint="eastAsia" w:ascii="宋体" w:hAnsi="宋体" w:eastAsia="宋体" w:cs="宋体"/>
          <w:sz w:val="28"/>
          <w:szCs w:val="28"/>
        </w:rPr>
      </w:pPr>
      <w:r>
        <w:rPr>
          <w:rFonts w:hint="eastAsia" w:ascii="仿宋_GB2312" w:hAnsi="仿宋_GB2312" w:eastAsia="仿宋_GB2312" w:cs="仿宋_GB2312"/>
          <w:sz w:val="32"/>
          <w:szCs w:val="32"/>
        </w:rPr>
        <w:t>本标准在制定过程中未涉及有关专利。</w:t>
      </w:r>
    </w:p>
    <w:p w14:paraId="6A28C907">
      <w:pPr>
        <w:pStyle w:val="16"/>
        <w:keepNext w:val="0"/>
        <w:keepLines w:val="0"/>
        <w:pageBreakBefore w:val="0"/>
        <w:wordWrap/>
        <w:bidi w:val="0"/>
        <w:snapToGrid w:val="0"/>
        <w:spacing w:before="0" w:after="0" w:line="560" w:lineRule="exact"/>
        <w:ind w:firstLine="640" w:firstLineChars="200"/>
        <w:jc w:val="both"/>
        <w:rPr>
          <w:rFonts w:hint="eastAsia" w:ascii="黑体" w:hAnsi="黑体" w:eastAsia="黑体" w:cs="黑体"/>
          <w:b w:val="0"/>
          <w:bCs w:val="0"/>
        </w:rPr>
      </w:pPr>
      <w:bookmarkStart w:id="15" w:name="_Toc32283"/>
      <w:r>
        <w:rPr>
          <w:rFonts w:hint="eastAsia" w:ascii="黑体" w:hAnsi="黑体" w:eastAsia="黑体" w:cs="黑体"/>
          <w:b w:val="0"/>
          <w:bCs w:val="0"/>
          <w:lang w:val="en-US" w:eastAsia="zh-CN"/>
        </w:rPr>
        <w:t>八</w:t>
      </w:r>
      <w:r>
        <w:rPr>
          <w:rFonts w:hint="eastAsia" w:ascii="黑体" w:hAnsi="黑体" w:eastAsia="黑体" w:cs="黑体"/>
          <w:b w:val="0"/>
          <w:bCs w:val="0"/>
        </w:rPr>
        <w:t>、实施要求，以及组织措施、技术措施、过渡期和实施日期的建议等措施建议</w:t>
      </w:r>
      <w:bookmarkEnd w:id="15"/>
    </w:p>
    <w:p w14:paraId="5B71284E">
      <w:pPr>
        <w:pStyle w:val="28"/>
        <w:keepNext w:val="0"/>
        <w:keepLines w:val="0"/>
        <w:pageBreakBefore w:val="0"/>
        <w:wordWrap/>
        <w:bidi w:val="0"/>
        <w:snapToGrid w:val="0"/>
        <w:spacing w:line="560" w:lineRule="exact"/>
        <w:ind w:firstLine="64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根据《标准化法》、《标准化法实施条例》的要求，以及本标准的定位，建议本标准作为</w:t>
      </w:r>
      <w:r>
        <w:rPr>
          <w:rFonts w:hint="eastAsia" w:ascii="仿宋_GB2312" w:hAnsi="仿宋_GB2312" w:eastAsia="仿宋_GB2312" w:cs="仿宋_GB2312"/>
          <w:kern w:val="2"/>
          <w:sz w:val="32"/>
          <w:szCs w:val="32"/>
          <w:lang w:val="en-US" w:eastAsia="zh-CN"/>
        </w:rPr>
        <w:t>陕西省地方</w:t>
      </w:r>
      <w:r>
        <w:rPr>
          <w:rFonts w:hint="eastAsia" w:ascii="仿宋_GB2312" w:hAnsi="仿宋_GB2312" w:eastAsia="仿宋_GB2312" w:cs="仿宋_GB2312"/>
          <w:kern w:val="2"/>
          <w:sz w:val="32"/>
          <w:szCs w:val="32"/>
        </w:rPr>
        <w:t>标准发布实施，同时建议本文件批准发布后6个月实施。对于实施过程中出现的问题和好的改进建议，</w:t>
      </w:r>
      <w:r>
        <w:rPr>
          <w:rFonts w:hint="eastAsia" w:ascii="仿宋_GB2312" w:hAnsi="仿宋_GB2312" w:eastAsia="仿宋_GB2312" w:cs="仿宋_GB2312"/>
          <w:kern w:val="2"/>
          <w:sz w:val="32"/>
          <w:szCs w:val="32"/>
          <w:lang w:val="en-US" w:eastAsia="zh-CN"/>
        </w:rPr>
        <w:t>起草</w:t>
      </w:r>
      <w:r>
        <w:rPr>
          <w:rFonts w:hint="eastAsia" w:ascii="仿宋_GB2312" w:hAnsi="仿宋_GB2312" w:eastAsia="仿宋_GB2312" w:cs="仿宋_GB2312"/>
          <w:kern w:val="2"/>
          <w:sz w:val="32"/>
          <w:szCs w:val="32"/>
        </w:rPr>
        <w:t>组将积极配合做好修订完善工作。</w:t>
      </w:r>
    </w:p>
    <w:p w14:paraId="49DC6FB3">
      <w:pPr>
        <w:pStyle w:val="16"/>
        <w:keepNext w:val="0"/>
        <w:keepLines w:val="0"/>
        <w:pageBreakBefore w:val="0"/>
        <w:wordWrap/>
        <w:bidi w:val="0"/>
        <w:snapToGrid w:val="0"/>
        <w:spacing w:before="0" w:after="0" w:line="560" w:lineRule="exact"/>
        <w:ind w:firstLine="640" w:firstLineChars="200"/>
        <w:jc w:val="both"/>
        <w:rPr>
          <w:rFonts w:hint="eastAsia" w:ascii="黑体" w:hAnsi="黑体" w:eastAsia="黑体" w:cs="黑体"/>
          <w:b w:val="0"/>
          <w:bCs w:val="0"/>
        </w:rPr>
      </w:pPr>
      <w:bookmarkStart w:id="16" w:name="_Toc21032"/>
      <w:r>
        <w:rPr>
          <w:rFonts w:hint="eastAsia" w:ascii="黑体" w:hAnsi="黑体" w:eastAsia="黑体" w:cs="黑体"/>
          <w:b w:val="0"/>
          <w:bCs w:val="0"/>
          <w:lang w:val="en-US" w:eastAsia="zh-CN"/>
        </w:rPr>
        <w:t>九</w:t>
      </w:r>
      <w:r>
        <w:rPr>
          <w:rFonts w:hint="eastAsia" w:ascii="黑体" w:hAnsi="黑体" w:eastAsia="黑体" w:cs="黑体"/>
          <w:b w:val="0"/>
          <w:bCs w:val="0"/>
        </w:rPr>
        <w:t>、其他应予说明的事项</w:t>
      </w:r>
      <w:bookmarkEnd w:id="16"/>
    </w:p>
    <w:p w14:paraId="04D87412">
      <w:pPr>
        <w:pStyle w:val="28"/>
        <w:keepNext w:val="0"/>
        <w:keepLines w:val="0"/>
        <w:pageBreakBefore w:val="0"/>
        <w:wordWrap/>
        <w:bidi w:val="0"/>
        <w:snapToGrid w:val="0"/>
        <w:spacing w:line="560" w:lineRule="exact"/>
        <w:ind w:firstLine="640"/>
        <w:rPr>
          <w:rFonts w:hint="eastAsia" w:ascii="宋体" w:hAnsi="宋体" w:eastAsia="宋体" w:cs="宋体"/>
          <w:kern w:val="2"/>
          <w:sz w:val="28"/>
          <w:szCs w:val="28"/>
        </w:rPr>
      </w:pPr>
      <w:r>
        <w:rPr>
          <w:rFonts w:hint="eastAsia" w:ascii="宋体" w:hAnsi="宋体" w:eastAsia="宋体" w:cs="宋体"/>
          <w:kern w:val="2"/>
          <w:sz w:val="28"/>
          <w:szCs w:val="28"/>
        </w:rPr>
        <w:t>无。</w:t>
      </w:r>
    </w:p>
    <w:p w14:paraId="7BB7CD3F">
      <w:pPr>
        <w:rPr>
          <w:rFonts w:hint="default" w:ascii="仿宋_GB2312" w:hAnsi="仿宋_GB2312" w:eastAsia="仿宋_GB2312" w:cs="仿宋_GB2312"/>
          <w:b w:val="0"/>
          <w:bCs w:val="0"/>
          <w:color w:val="auto"/>
          <w:sz w:val="32"/>
          <w:szCs w:val="32"/>
          <w:lang w:val="en-US" w:eastAsia="zh-CN"/>
        </w:rPr>
      </w:pPr>
    </w:p>
    <w:p w14:paraId="7CA61DE9">
      <w:pPr>
        <w:rPr>
          <w:rFonts w:hint="default" w:ascii="仿宋_GB2312" w:hAnsi="仿宋_GB2312" w:eastAsia="仿宋_GB2312" w:cs="仿宋_GB2312"/>
          <w:b w:val="0"/>
          <w:bCs w:val="0"/>
          <w:color w:val="auto"/>
          <w:sz w:val="32"/>
          <w:szCs w:val="32"/>
          <w:lang w:val="en-US" w:eastAsia="zh-CN"/>
        </w:rPr>
      </w:pPr>
    </w:p>
    <w:sectPr>
      <w:footerReference r:id="rId3" w:type="default"/>
      <w:pgSz w:w="11906" w:h="16838"/>
      <w:pgMar w:top="2154" w:right="1474" w:bottom="2041" w:left="1587" w:header="851" w:footer="1701"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D5D1318-A528-486C-849E-0651E4D384A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embedRegular r:id="rId2" w:fontKey="{E0FDCA78-29C2-4B06-A2BB-E01B6687D613}"/>
  </w:font>
  <w:font w:name="方正仿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ingLiU">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方正小标宋简体">
    <w:panose1 w:val="02000000000000000000"/>
    <w:charset w:val="86"/>
    <w:family w:val="auto"/>
    <w:pitch w:val="default"/>
    <w:sig w:usb0="00000001" w:usb1="08000000" w:usb2="00000000" w:usb3="00000000" w:csb0="00040000" w:csb1="00000000"/>
    <w:embedRegular r:id="rId3" w:fontKey="{881742FC-7A8F-40CB-9BC5-05FF74287882}"/>
  </w:font>
  <w:font w:name="楷体">
    <w:panose1 w:val="02010609060101010101"/>
    <w:charset w:val="86"/>
    <w:family w:val="modern"/>
    <w:pitch w:val="default"/>
    <w:sig w:usb0="800002BF" w:usb1="38CF7CFA" w:usb2="00000016" w:usb3="00000000" w:csb0="00040001" w:csb1="00000000"/>
    <w:embedRegular r:id="rId4" w:fontKey="{FB0B72A0-2667-4735-848E-8B4218539678}"/>
  </w:font>
  <w:font w:name="KSOFD8A28030">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5E556">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3A244E">
                          <w:pPr>
                            <w:pStyle w:val="11"/>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- 1 -</w:t>
                          </w:r>
                          <w:r>
                            <w:rPr>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A3A244E">
                    <w:pPr>
                      <w:pStyle w:val="11"/>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- 1 -</w:t>
                    </w:r>
                    <w:r>
                      <w:rPr>
                        <w:sz w:val="24"/>
                        <w:szCs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32"/>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NlMWIxMjUzYzA1M2Y1OTJkMjIxMDM3Y2Y5YjZiMWYifQ=="/>
  </w:docVars>
  <w:rsids>
    <w:rsidRoot w:val="00000000"/>
    <w:rsid w:val="00476093"/>
    <w:rsid w:val="00D43F4C"/>
    <w:rsid w:val="00D61510"/>
    <w:rsid w:val="014A4B87"/>
    <w:rsid w:val="03EA08A3"/>
    <w:rsid w:val="04A56970"/>
    <w:rsid w:val="05AB6562"/>
    <w:rsid w:val="05CC3946"/>
    <w:rsid w:val="09215D9B"/>
    <w:rsid w:val="0BBA6DAD"/>
    <w:rsid w:val="0C793722"/>
    <w:rsid w:val="10991480"/>
    <w:rsid w:val="12CA6130"/>
    <w:rsid w:val="133656BD"/>
    <w:rsid w:val="13653AA2"/>
    <w:rsid w:val="13B87CFA"/>
    <w:rsid w:val="173725F7"/>
    <w:rsid w:val="1BBC264A"/>
    <w:rsid w:val="1CE04199"/>
    <w:rsid w:val="1E440885"/>
    <w:rsid w:val="1ECA13FC"/>
    <w:rsid w:val="23085F8B"/>
    <w:rsid w:val="24DB74ED"/>
    <w:rsid w:val="269F4474"/>
    <w:rsid w:val="26E80296"/>
    <w:rsid w:val="2D391DD0"/>
    <w:rsid w:val="2D3E246A"/>
    <w:rsid w:val="32333292"/>
    <w:rsid w:val="32861B22"/>
    <w:rsid w:val="35540B1C"/>
    <w:rsid w:val="3C481D58"/>
    <w:rsid w:val="3E2049BA"/>
    <w:rsid w:val="3EA572C5"/>
    <w:rsid w:val="3FD17C46"/>
    <w:rsid w:val="40AB082E"/>
    <w:rsid w:val="418D0910"/>
    <w:rsid w:val="42C17F21"/>
    <w:rsid w:val="43687AA9"/>
    <w:rsid w:val="438C01F2"/>
    <w:rsid w:val="441C6B00"/>
    <w:rsid w:val="4754697B"/>
    <w:rsid w:val="4902100C"/>
    <w:rsid w:val="491973C0"/>
    <w:rsid w:val="49B618F4"/>
    <w:rsid w:val="4A9214CA"/>
    <w:rsid w:val="4B0052D2"/>
    <w:rsid w:val="4B5453C5"/>
    <w:rsid w:val="4F6737C8"/>
    <w:rsid w:val="5302666B"/>
    <w:rsid w:val="567E2F81"/>
    <w:rsid w:val="573A719E"/>
    <w:rsid w:val="592F7245"/>
    <w:rsid w:val="5DD14F2D"/>
    <w:rsid w:val="5E434C79"/>
    <w:rsid w:val="62F61402"/>
    <w:rsid w:val="68853EFE"/>
    <w:rsid w:val="6A6F772A"/>
    <w:rsid w:val="6B455489"/>
    <w:rsid w:val="6B83658A"/>
    <w:rsid w:val="6BD413CB"/>
    <w:rsid w:val="6C442169"/>
    <w:rsid w:val="6FD82172"/>
    <w:rsid w:val="738E6917"/>
    <w:rsid w:val="747653EC"/>
    <w:rsid w:val="74B77623"/>
    <w:rsid w:val="78702B1F"/>
    <w:rsid w:val="7BED6C90"/>
    <w:rsid w:val="7CF130FA"/>
    <w:rsid w:val="7D6670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99" w:name="index 5"/>
    <w:lsdException w:qFormat="1"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qFormat="1"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iPriority="99"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4">
    <w:name w:val="index 8"/>
    <w:basedOn w:val="1"/>
    <w:next w:val="1"/>
    <w:qFormat/>
    <w:uiPriority w:val="0"/>
    <w:pPr>
      <w:ind w:left="2940"/>
    </w:pPr>
  </w:style>
  <w:style w:type="paragraph" w:styleId="5">
    <w:name w:val="index 5"/>
    <w:basedOn w:val="1"/>
    <w:next w:val="1"/>
    <w:semiHidden/>
    <w:qFormat/>
    <w:uiPriority w:val="99"/>
    <w:pPr>
      <w:ind w:left="1680"/>
    </w:pPr>
    <w:rPr>
      <w:rFonts w:ascii="黑体" w:eastAsia="黑体" w:cs="黑体"/>
      <w:sz w:val="32"/>
      <w:szCs w:val="32"/>
    </w:rPr>
  </w:style>
  <w:style w:type="paragraph" w:styleId="6">
    <w:name w:val="index 6"/>
    <w:next w:val="1"/>
    <w:qFormat/>
    <w:uiPriority w:val="0"/>
    <w:pPr>
      <w:widowControl w:val="0"/>
      <w:ind w:left="1000" w:leftChars="1000"/>
      <w:jc w:val="both"/>
    </w:pPr>
    <w:rPr>
      <w:rFonts w:ascii="Calibri" w:hAnsi="Calibri" w:eastAsia="宋体" w:cs="Times New Roman"/>
      <w:kern w:val="2"/>
      <w:sz w:val="21"/>
      <w:szCs w:val="24"/>
      <w:lang w:val="en-US" w:eastAsia="zh-CN" w:bidi="ar-SA"/>
    </w:rPr>
  </w:style>
  <w:style w:type="paragraph" w:styleId="7">
    <w:name w:val="Salutation"/>
    <w:basedOn w:val="1"/>
    <w:next w:val="1"/>
    <w:unhideWhenUsed/>
    <w:qFormat/>
    <w:uiPriority w:val="99"/>
    <w:rPr>
      <w:rFonts w:ascii="宋体" w:cs="宋体"/>
      <w:sz w:val="24"/>
    </w:rPr>
  </w:style>
  <w:style w:type="paragraph" w:styleId="8">
    <w:name w:val="Body Text"/>
    <w:basedOn w:val="1"/>
    <w:next w:val="4"/>
    <w:qFormat/>
    <w:uiPriority w:val="99"/>
    <w:pPr>
      <w:spacing w:before="100" w:beforeAutospacing="1" w:after="120"/>
    </w:pPr>
  </w:style>
  <w:style w:type="paragraph" w:styleId="9">
    <w:name w:val="Body Text Indent"/>
    <w:basedOn w:val="1"/>
    <w:qFormat/>
    <w:uiPriority w:val="0"/>
    <w:pPr>
      <w:spacing w:after="120"/>
      <w:ind w:left="420" w:leftChars="200"/>
    </w:pPr>
    <w:rPr>
      <w:rFonts w:ascii="Calibri" w:hAnsi="Calibri" w:eastAsia="宋体" w:cs="Times New Roman"/>
    </w:rPr>
  </w:style>
  <w:style w:type="paragraph" w:styleId="10">
    <w:name w:val="toc 3"/>
    <w:basedOn w:val="1"/>
    <w:next w:val="1"/>
    <w:qFormat/>
    <w:uiPriority w:val="0"/>
    <w:pPr>
      <w:ind w:left="840" w:leftChars="400"/>
    </w:p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2"/>
    <w:basedOn w:val="1"/>
    <w:next w:val="1"/>
    <w:unhideWhenUsed/>
    <w:qFormat/>
    <w:uiPriority w:val="39"/>
    <w:pPr>
      <w:keepNext w:val="0"/>
      <w:keepLines w:val="0"/>
      <w:widowControl w:val="0"/>
      <w:suppressLineNumbers w:val="0"/>
      <w:ind w:left="420" w:leftChars="200"/>
      <w:jc w:val="both"/>
    </w:pPr>
    <w:rPr>
      <w:rFonts w:hint="default" w:ascii="Times New Roman" w:hAnsi="Times New Roman" w:eastAsia="宋体" w:cs="Times New Roman"/>
      <w:kern w:val="2"/>
      <w:sz w:val="30"/>
      <w:szCs w:val="30"/>
      <w:lang w:val="en-US" w:eastAsia="zh-CN" w:bidi="ar"/>
    </w:rPr>
  </w:style>
  <w:style w:type="paragraph" w:styleId="1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6">
    <w:name w:val="Title"/>
    <w:basedOn w:val="1"/>
    <w:next w:val="1"/>
    <w:qFormat/>
    <w:uiPriority w:val="0"/>
    <w:pPr>
      <w:spacing w:before="240" w:after="60"/>
      <w:jc w:val="center"/>
      <w:outlineLvl w:val="0"/>
    </w:pPr>
    <w:rPr>
      <w:rFonts w:ascii="等线 Light" w:hAnsi="等线 Light" w:cs="Times New Roman"/>
      <w:b/>
      <w:bCs/>
      <w:sz w:val="32"/>
      <w:szCs w:val="32"/>
    </w:rPr>
  </w:style>
  <w:style w:type="paragraph" w:styleId="17">
    <w:name w:val="Body Text First Indent"/>
    <w:basedOn w:val="8"/>
    <w:next w:val="8"/>
    <w:qFormat/>
    <w:uiPriority w:val="0"/>
    <w:pPr>
      <w:ind w:firstLine="200" w:firstLineChars="200"/>
    </w:p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0"/>
    <w:rPr>
      <w:b/>
    </w:rPr>
  </w:style>
  <w:style w:type="character" w:styleId="22">
    <w:name w:val="Emphasis"/>
    <w:basedOn w:val="20"/>
    <w:qFormat/>
    <w:uiPriority w:val="0"/>
    <w:rPr>
      <w:i/>
    </w:rPr>
  </w:style>
  <w:style w:type="paragraph" w:customStyle="1" w:styleId="23">
    <w:name w:val="Body Text First Indent1"/>
    <w:basedOn w:val="8"/>
    <w:next w:val="12"/>
    <w:qFormat/>
    <w:uiPriority w:val="0"/>
    <w:pPr>
      <w:spacing w:after="0"/>
      <w:ind w:firstLine="420" w:firstLineChars="100"/>
    </w:pPr>
    <w:rPr>
      <w:rFonts w:hint="eastAsia" w:ascii="仿宋_GB2312" w:hAnsi="Calibri" w:eastAsia="宋体" w:cs="Times New Roman"/>
      <w:sz w:val="21"/>
      <w:szCs w:val="22"/>
    </w:rPr>
  </w:style>
  <w:style w:type="paragraph" w:customStyle="1" w:styleId="24">
    <w:name w:val="正文文本首行缩进 21"/>
    <w:basedOn w:val="9"/>
    <w:next w:val="6"/>
    <w:unhideWhenUsed/>
    <w:qFormat/>
    <w:uiPriority w:val="99"/>
    <w:pPr>
      <w:spacing w:line="620" w:lineRule="exact"/>
      <w:ind w:firstLine="420" w:firstLineChars="200"/>
    </w:pPr>
    <w:rPr>
      <w:rFonts w:ascii="方正仿宋_GBK"/>
      <w:spacing w:val="8"/>
    </w:rPr>
  </w:style>
  <w:style w:type="paragraph" w:customStyle="1" w:styleId="25">
    <w:name w:val="Normal Indent1"/>
    <w:basedOn w:val="1"/>
    <w:qFormat/>
    <w:uiPriority w:val="0"/>
    <w:pPr>
      <w:ind w:firstLine="880" w:firstLineChars="200"/>
    </w:pPr>
    <w:rPr>
      <w:szCs w:val="24"/>
    </w:rPr>
  </w:style>
  <w:style w:type="character" w:customStyle="1" w:styleId="26">
    <w:name w:val="Body text|1_"/>
    <w:basedOn w:val="20"/>
    <w:link w:val="27"/>
    <w:qFormat/>
    <w:uiPriority w:val="0"/>
    <w:rPr>
      <w:rFonts w:ascii="MingLiU" w:hAnsi="MingLiU" w:eastAsia="MingLiU" w:cs="MingLiU"/>
      <w:sz w:val="17"/>
      <w:szCs w:val="17"/>
      <w:u w:val="none"/>
      <w:lang w:val="ko-KR" w:eastAsia="ko-KR" w:bidi="ko-KR"/>
    </w:rPr>
  </w:style>
  <w:style w:type="paragraph" w:customStyle="1" w:styleId="27">
    <w:name w:val="Body text|1"/>
    <w:link w:val="26"/>
    <w:qFormat/>
    <w:uiPriority w:val="0"/>
    <w:pPr>
      <w:widowControl w:val="0"/>
      <w:shd w:val="clear" w:color="auto" w:fill="auto"/>
      <w:spacing w:line="377" w:lineRule="auto"/>
      <w:ind w:firstLine="400"/>
    </w:pPr>
    <w:rPr>
      <w:rFonts w:ascii="MingLiU" w:hAnsi="MingLiU" w:eastAsia="MingLiU" w:cs="MingLiU"/>
      <w:sz w:val="17"/>
      <w:szCs w:val="17"/>
      <w:u w:val="none"/>
      <w:lang w:val="ko-KR" w:eastAsia="ko-KR" w:bidi="ko-KR"/>
    </w:rPr>
  </w:style>
  <w:style w:type="paragraph" w:customStyle="1" w:styleId="28">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9">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0">
    <w:name w:val="一级条标题"/>
    <w:basedOn w:val="31"/>
    <w:next w:val="28"/>
    <w:qFormat/>
    <w:uiPriority w:val="0"/>
    <w:pPr>
      <w:spacing w:before="0" w:beforeLines="0" w:after="0" w:afterLines="0" w:line="360" w:lineRule="auto"/>
      <w:outlineLvl w:val="2"/>
    </w:pPr>
  </w:style>
  <w:style w:type="paragraph" w:customStyle="1" w:styleId="31">
    <w:name w:val="章标题"/>
    <w:next w:val="28"/>
    <w:qFormat/>
    <w:uiPriority w:val="0"/>
    <w:p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32">
    <w:name w:val="标准文件_章标题"/>
    <w:next w:val="29"/>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46</Words>
  <Characters>46</Characters>
  <Lines>0</Lines>
  <Paragraphs>0</Paragraphs>
  <TotalTime>14</TotalTime>
  <ScaleCrop>false</ScaleCrop>
  <LinksUpToDate>false</LinksUpToDate>
  <CharactersWithSpaces>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2024-06-13T02:43:00Z</dcterms:created>
  <dc:creator>Administrator</dc:creator>
  <cp:lastModifiedBy>平安jld</cp:lastModifiedBy>
  <cp:lastPrinted>2026-01-22T00:54:00Z</cp:lastPrinted>
  <dcterms:modified xsi:type="dcterms:W3CDTF">2026-03-31T08:00:58Z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A66B0EB380A84BE2AF1112392BCAC550_13</vt:lpwstr>
  </property>
  <property fmtid="{D5CDD505-2E9C-101B-9397-08002B2CF9AE}" pid="4" name="KSOTemplateDocerSaveRecord">
    <vt:lpwstr>eyJoZGlkIjoiN2M2YjYyMDZjYTc5OTk3ZjZhODk3MTY1N2FkN2ViYmEiLCJ1c2VySWQiOiI3NjEwNDUyNzAifQ==</vt:lpwstr>
  </property>
</Properties>
</file>